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2884E" w14:textId="77777777" w:rsidR="00553AF1" w:rsidRPr="00DE2540" w:rsidRDefault="00553AF1">
      <w:pPr>
        <w:spacing w:before="240" w:after="120" w:line="240" w:lineRule="auto"/>
        <w:ind w:firstLine="567"/>
        <w:jc w:val="center"/>
        <w:rPr>
          <w:rStyle w:val="apple-tab-span"/>
        </w:rPr>
      </w:pPr>
      <w:bookmarkStart w:id="0" w:name="_GoBack"/>
      <w:bookmarkEnd w:id="0"/>
    </w:p>
    <w:p w14:paraId="0373D5DB" w14:textId="77777777" w:rsidR="00553AF1" w:rsidRDefault="00553AF1">
      <w:pPr>
        <w:spacing w:before="240" w:after="120" w:line="240" w:lineRule="auto"/>
        <w:ind w:firstLine="567"/>
        <w:jc w:val="center"/>
        <w:rPr>
          <w:rFonts w:ascii="Times New Roman" w:eastAsia="Times New Roman" w:hAnsi="Times New Roman" w:cs="Times New Roman"/>
          <w:b/>
          <w:bCs/>
          <w:color w:val="000000"/>
          <w:sz w:val="56"/>
          <w:szCs w:val="56"/>
          <w:lang w:val="lv-LV" w:eastAsia="lv-LV"/>
        </w:rPr>
      </w:pPr>
    </w:p>
    <w:p w14:paraId="0DDFEAE8" w14:textId="77777777" w:rsidR="00553AF1" w:rsidRDefault="00553AF1">
      <w:pPr>
        <w:spacing w:before="240" w:after="120" w:line="240" w:lineRule="auto"/>
        <w:ind w:firstLine="567"/>
        <w:jc w:val="center"/>
        <w:rPr>
          <w:rFonts w:ascii="Times New Roman" w:eastAsia="Times New Roman" w:hAnsi="Times New Roman" w:cs="Times New Roman"/>
          <w:b/>
          <w:bCs/>
          <w:color w:val="000000"/>
          <w:sz w:val="56"/>
          <w:szCs w:val="56"/>
          <w:lang w:val="lv-LV" w:eastAsia="lv-LV"/>
        </w:rPr>
      </w:pPr>
    </w:p>
    <w:p w14:paraId="62439089" w14:textId="77777777" w:rsidR="00553AF1" w:rsidRDefault="00A11AB4">
      <w:pPr>
        <w:spacing w:before="240" w:after="120" w:line="240" w:lineRule="auto"/>
        <w:ind w:firstLine="567"/>
        <w:jc w:val="center"/>
        <w:rPr>
          <w:rFonts w:ascii="Times New Roman" w:eastAsia="Times New Roman" w:hAnsi="Times New Roman" w:cs="Times New Roman"/>
          <w:b/>
          <w:bCs/>
          <w:color w:val="000000"/>
          <w:sz w:val="56"/>
          <w:szCs w:val="56"/>
          <w:lang w:val="lv-LV" w:eastAsia="lv-LV"/>
        </w:rPr>
      </w:pPr>
      <w:r>
        <w:rPr>
          <w:rFonts w:ascii="Times New Roman" w:eastAsia="Times New Roman" w:hAnsi="Times New Roman" w:cs="Times New Roman"/>
          <w:b/>
          <w:bCs/>
          <w:color w:val="000000"/>
          <w:sz w:val="56"/>
          <w:szCs w:val="56"/>
          <w:lang w:val="lv-LV" w:eastAsia="lv-LV"/>
        </w:rPr>
        <w:t>Mikrokredītu uzskaites/administrēšanas programmatūras tehniskā specifikācija</w:t>
      </w:r>
      <w:r>
        <w:rPr>
          <w:rFonts w:ascii="Times New Roman" w:eastAsia="Times New Roman" w:hAnsi="Times New Roman" w:cs="Times New Roman"/>
          <w:b/>
          <w:bCs/>
          <w:noProof/>
          <w:color w:val="000000"/>
          <w:sz w:val="56"/>
          <w:szCs w:val="56"/>
          <w:lang w:val="lv-LV" w:eastAsia="lv-LV"/>
        </w:rPr>
        <mc:AlternateContent>
          <mc:Choice Requires="wps">
            <w:drawing>
              <wp:inline distT="0" distB="0" distL="0" distR="0" wp14:anchorId="35CD7683" wp14:editId="26483DEF">
                <wp:extent cx="95885" cy="219710"/>
                <wp:effectExtent l="0" t="0" r="0" b="0"/>
                <wp:docPr id="1" name="Rectangle 1"/>
                <wp:cNvGraphicFramePr/>
                <a:graphic xmlns:a="http://schemas.openxmlformats.org/drawingml/2006/main">
                  <a:graphicData uri="http://schemas.microsoft.com/office/word/2010/wordprocessingShape">
                    <wps:wsp>
                      <wps:cNvSpPr/>
                      <wps:spPr>
                        <a:xfrm>
                          <a:off x="0" y="0"/>
                          <a:ext cx="95400" cy="2192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stroked="f" style="position:absolute;margin-left:0pt;margin-top:-17.3pt;width:7.45pt;height:17.2pt;mso-position-vertical:top" wp14:anchorId="42B371D8">
                <w10:wrap type="none"/>
                <v:fill o:detectmouseclick="t" on="false"/>
                <v:stroke color="#3465a4" joinstyle="round" endcap="flat"/>
              </v:rect>
            </w:pict>
          </mc:Fallback>
        </mc:AlternateContent>
      </w:r>
    </w:p>
    <w:p w14:paraId="550CB1D5" w14:textId="77777777" w:rsidR="00553AF1" w:rsidRDefault="00553AF1">
      <w:pPr>
        <w:spacing w:before="240" w:after="120" w:line="240" w:lineRule="auto"/>
        <w:ind w:firstLine="567"/>
        <w:jc w:val="center"/>
        <w:rPr>
          <w:rFonts w:ascii="Times New Roman" w:eastAsia="Times New Roman" w:hAnsi="Times New Roman" w:cs="Times New Roman"/>
          <w:b/>
          <w:bCs/>
          <w:color w:val="000000"/>
          <w:sz w:val="56"/>
          <w:szCs w:val="56"/>
          <w:lang w:val="lv-LV" w:eastAsia="lv-LV"/>
        </w:rPr>
      </w:pPr>
    </w:p>
    <w:p w14:paraId="630F1EF4" w14:textId="77777777" w:rsidR="00553AF1" w:rsidRDefault="00553AF1">
      <w:pPr>
        <w:spacing w:before="240" w:after="120" w:line="240" w:lineRule="auto"/>
        <w:ind w:firstLine="567"/>
        <w:jc w:val="center"/>
        <w:rPr>
          <w:rFonts w:ascii="Times New Roman" w:eastAsia="Times New Roman" w:hAnsi="Times New Roman" w:cs="Times New Roman"/>
          <w:b/>
          <w:bCs/>
          <w:color w:val="000000"/>
          <w:sz w:val="56"/>
          <w:szCs w:val="56"/>
          <w:lang w:val="lv-LV" w:eastAsia="lv-LV"/>
        </w:rPr>
      </w:pPr>
    </w:p>
    <w:p w14:paraId="56236A07" w14:textId="77777777" w:rsidR="00553AF1" w:rsidRDefault="00553AF1">
      <w:pPr>
        <w:spacing w:before="240" w:after="120" w:line="240" w:lineRule="auto"/>
        <w:ind w:firstLine="567"/>
        <w:jc w:val="center"/>
        <w:rPr>
          <w:rFonts w:ascii="Times New Roman" w:eastAsia="Times New Roman" w:hAnsi="Times New Roman" w:cs="Times New Roman"/>
          <w:sz w:val="24"/>
          <w:szCs w:val="24"/>
          <w:lang w:val="lv-LV" w:eastAsia="lv-LV"/>
        </w:rPr>
      </w:pPr>
    </w:p>
    <w:p w14:paraId="27A78442" w14:textId="77777777" w:rsidR="00553AF1" w:rsidRDefault="00553AF1">
      <w:pPr>
        <w:spacing w:after="0" w:line="240" w:lineRule="auto"/>
        <w:rPr>
          <w:rFonts w:ascii="Times New Roman" w:eastAsia="Times New Roman" w:hAnsi="Times New Roman" w:cs="Times New Roman"/>
          <w:sz w:val="24"/>
          <w:szCs w:val="24"/>
          <w:lang w:val="lv-LV" w:eastAsia="lv-LV"/>
        </w:rPr>
      </w:pPr>
    </w:p>
    <w:p w14:paraId="6089992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Šī specifikācija ir sagatavota biedrības ‘Rīgas rajona Lauku attīstības biedrība’ Lauku attīstības programmas 2014-2020.gadam (LAP) pasākuma 19.3 ‘Starpteritoriālā un starpvalstu sadarbība’ apakšpasākuma “Starpteritoriālā sadarbība” projektam ‘Reģiona finanses reģiona uzņēmējdarbībai’ Nr. 18-00-A019.332-000005 ietvaros (turpmāk tekstā </w:t>
      </w:r>
      <w:r>
        <w:rPr>
          <w:rFonts w:ascii="Times New Roman" w:eastAsia="Times New Roman" w:hAnsi="Times New Roman" w:cs="Times New Roman"/>
          <w:b/>
          <w:bCs/>
          <w:color w:val="000000"/>
          <w:sz w:val="24"/>
          <w:szCs w:val="24"/>
          <w:lang w:val="lv-LV" w:eastAsia="lv-LV"/>
        </w:rPr>
        <w:t>Projekts</w:t>
      </w:r>
      <w:r>
        <w:rPr>
          <w:rFonts w:ascii="Times New Roman" w:eastAsia="Times New Roman" w:hAnsi="Times New Roman" w:cs="Times New Roman"/>
          <w:color w:val="000000"/>
          <w:sz w:val="24"/>
          <w:szCs w:val="24"/>
          <w:lang w:val="lv-LV" w:eastAsia="lv-LV"/>
        </w:rPr>
        <w:t xml:space="preserve">) IT rīka tehniskās specifikācijas sagatavošanā, ietverot slēdzienu par programmatūras kompleksa ‘MifosX’ piemērotību finanšu apsaimniekošanā nebanku sektorā (turpmāk tekstā </w:t>
      </w:r>
      <w:r>
        <w:rPr>
          <w:rFonts w:ascii="Times New Roman" w:eastAsia="Times New Roman" w:hAnsi="Times New Roman" w:cs="Times New Roman"/>
          <w:b/>
          <w:bCs/>
          <w:color w:val="000000"/>
          <w:sz w:val="24"/>
          <w:szCs w:val="24"/>
          <w:lang w:val="lv-LV" w:eastAsia="lv-LV"/>
        </w:rPr>
        <w:t>Specifikācija</w:t>
      </w:r>
      <w:r>
        <w:rPr>
          <w:rFonts w:ascii="Times New Roman" w:eastAsia="Times New Roman" w:hAnsi="Times New Roman" w:cs="Times New Roman"/>
          <w:color w:val="000000"/>
          <w:sz w:val="24"/>
          <w:szCs w:val="24"/>
          <w:lang w:val="lv-LV" w:eastAsia="lv-LV"/>
        </w:rPr>
        <w:t>).</w:t>
      </w:r>
    </w:p>
    <w:p w14:paraId="19C5BB26"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Projekta ietvaros veikta datorporgrammu kompleksa ‘MifosX’ (turpmāk tekstā </w:t>
      </w:r>
      <w:r>
        <w:rPr>
          <w:rFonts w:ascii="Times New Roman" w:eastAsia="Times New Roman" w:hAnsi="Times New Roman" w:cs="Times New Roman"/>
          <w:b/>
          <w:bCs/>
          <w:color w:val="000000"/>
          <w:sz w:val="24"/>
          <w:szCs w:val="24"/>
          <w:lang w:val="lv-LV" w:eastAsia="lv-LV"/>
        </w:rPr>
        <w:t>Sistēma</w:t>
      </w:r>
      <w:r>
        <w:rPr>
          <w:rFonts w:ascii="Times New Roman" w:eastAsia="Times New Roman" w:hAnsi="Times New Roman" w:cs="Times New Roman"/>
          <w:color w:val="000000"/>
          <w:sz w:val="24"/>
          <w:szCs w:val="24"/>
          <w:lang w:val="lv-LV" w:eastAsia="lv-LV"/>
        </w:rPr>
        <w:t>) testēšana, lai izvērtētu iespējas to lietot Latvijas nebanku sektora finanšu apsaimniekošanai, kā arī paredzamās izmaksas funkcionāli līdzīga projekta īstenošanai. </w:t>
      </w:r>
    </w:p>
    <w:p w14:paraId="51A960F1"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Specifikāciju sagatavoja SIA “IMConsilio”, reģ. nr. 40103780975, adrese Tomsona iela 33a-29, Rīga, LV-1013.</w:t>
      </w:r>
    </w:p>
    <w:p w14:paraId="69F8E9F8"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br w:type="page"/>
      </w:r>
    </w:p>
    <w:p w14:paraId="0D34C8EE" w14:textId="77777777" w:rsidR="00553AF1" w:rsidRDefault="00553AF1">
      <w:pPr>
        <w:spacing w:after="140" w:line="240" w:lineRule="auto"/>
        <w:ind w:firstLine="567"/>
        <w:jc w:val="both"/>
        <w:rPr>
          <w:rFonts w:ascii="Times New Roman" w:eastAsia="Times New Roman" w:hAnsi="Times New Roman" w:cs="Times New Roman"/>
          <w:sz w:val="24"/>
          <w:szCs w:val="24"/>
          <w:lang w:val="lv-LV" w:eastAsia="lv-LV"/>
        </w:rPr>
      </w:pPr>
    </w:p>
    <w:p w14:paraId="3D0D1346" w14:textId="77777777" w:rsidR="00553AF1" w:rsidRDefault="00A11AB4">
      <w:pPr>
        <w:numPr>
          <w:ilvl w:val="0"/>
          <w:numId w:val="1"/>
        </w:numPr>
        <w:spacing w:before="240" w:after="120" w:line="240" w:lineRule="auto"/>
        <w:ind w:left="360"/>
        <w:jc w:val="both"/>
        <w:textAlignment w:val="baseline"/>
        <w:outlineLvl w:val="0"/>
        <w:rPr>
          <w:rFonts w:ascii="Times New Roman" w:eastAsia="Times New Roman" w:hAnsi="Times New Roman" w:cs="Times New Roman"/>
          <w:b/>
          <w:bCs/>
          <w:color w:val="000000"/>
          <w:kern w:val="2"/>
          <w:sz w:val="36"/>
          <w:szCs w:val="36"/>
          <w:lang w:val="lv-LV" w:eastAsia="lv-LV"/>
        </w:rPr>
      </w:pPr>
      <w:r>
        <w:rPr>
          <w:rFonts w:ascii="Times New Roman" w:eastAsia="Times New Roman" w:hAnsi="Times New Roman" w:cs="Times New Roman"/>
          <w:b/>
          <w:bCs/>
          <w:color w:val="000000"/>
          <w:kern w:val="2"/>
          <w:sz w:val="36"/>
          <w:szCs w:val="36"/>
          <w:lang w:val="lv-LV" w:eastAsia="lv-LV"/>
        </w:rPr>
        <w:t xml:space="preserve"> Vispārējs MifosX apraksts</w:t>
      </w:r>
    </w:p>
    <w:p w14:paraId="39A942D7"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Projekta mērķis ir izveidot ekonomisku risinājumu mazo kreditēšanas organizāciju vadībai. Mērķauditorija ir galvenokārt pasaules nabadzīgākajās valstīs.</w:t>
      </w:r>
    </w:p>
    <w:p w14:paraId="2D7606DA"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Kopš projekta pirmsākumiem 2006. gadā projekta galvenais uzdevums ir saglabājies nemainīgs: nodrošināt dažādu pasaules valstu mikrofinansēšanas institūcijas ar lētu un pieejamu risinājumu kredītu apsaimniekošanai, īpaši pievēršot uzmanību tām kopienām, kuras neizmanto IT instrumentus vai izmanto tos nepietiekami.</w:t>
      </w:r>
    </w:p>
    <w:p w14:paraId="23F19D62" w14:textId="77777777" w:rsidR="00553AF1" w:rsidRDefault="00A11AB4">
      <w:pPr>
        <w:spacing w:after="140" w:line="240" w:lineRule="auto"/>
        <w:ind w:firstLine="720"/>
        <w:jc w:val="both"/>
      </w:pPr>
      <w:r>
        <w:rPr>
          <w:rFonts w:ascii="Times New Roman" w:eastAsia="Times New Roman" w:hAnsi="Times New Roman" w:cs="Times New Roman"/>
          <w:color w:val="000000"/>
          <w:sz w:val="24"/>
          <w:szCs w:val="24"/>
          <w:lang w:val="lv-LV" w:eastAsia="lv-LV"/>
        </w:rPr>
        <w:t>Projektu 2006. gadā aizsāka ASV bāzēta bezpeļņas organizācija Grameen Foundation (</w:t>
      </w:r>
      <w:hyperlink r:id="rId6">
        <w:r>
          <w:rPr>
            <w:rFonts w:ascii="Times New Roman" w:eastAsia="Times New Roman" w:hAnsi="Times New Roman" w:cs="Times New Roman"/>
            <w:color w:val="000080"/>
            <w:sz w:val="24"/>
            <w:szCs w:val="24"/>
            <w:u w:val="single"/>
            <w:lang w:val="lv-LV" w:eastAsia="lv-LV"/>
          </w:rPr>
          <w:t>https://grameenfoundation.org</w:t>
        </w:r>
      </w:hyperlink>
      <w:r>
        <w:rPr>
          <w:rFonts w:ascii="Times New Roman" w:eastAsia="Times New Roman" w:hAnsi="Times New Roman" w:cs="Times New Roman"/>
          <w:color w:val="000000"/>
          <w:sz w:val="24"/>
          <w:szCs w:val="24"/>
          <w:lang w:val="lv-LV" w:eastAsia="lv-LV"/>
        </w:rPr>
        <w:t>). Tas bija pirmais atvērtā koda risinājums finanšu sfērai. 2014. gadā projekta koordināciju pārņēma īpaši veidota organizācija Mifos Initiative (</w:t>
      </w:r>
      <w:hyperlink r:id="rId7">
        <w:r>
          <w:rPr>
            <w:rFonts w:ascii="Times New Roman" w:eastAsia="Times New Roman" w:hAnsi="Times New Roman" w:cs="Times New Roman"/>
            <w:color w:val="000080"/>
            <w:sz w:val="24"/>
            <w:szCs w:val="24"/>
            <w:u w:val="single"/>
            <w:lang w:val="lv-LV" w:eastAsia="lv-LV"/>
          </w:rPr>
          <w:t>https://mifos.org</w:t>
        </w:r>
      </w:hyperlink>
      <w:r>
        <w:rPr>
          <w:rFonts w:ascii="Times New Roman" w:eastAsia="Times New Roman" w:hAnsi="Times New Roman" w:cs="Times New Roman"/>
          <w:color w:val="000000"/>
          <w:sz w:val="24"/>
          <w:szCs w:val="24"/>
          <w:lang w:val="lv-LV" w:eastAsia="lv-LV"/>
        </w:rPr>
        <w:t xml:space="preserve">). 2016. gadā tika pabeigta projekta nodošana Apache fondam (Apache Foundation, </w:t>
      </w:r>
      <w:hyperlink r:id="rId8">
        <w:r>
          <w:rPr>
            <w:rFonts w:ascii="Times New Roman" w:eastAsia="Times New Roman" w:hAnsi="Times New Roman" w:cs="Times New Roman"/>
            <w:color w:val="1155CC"/>
            <w:sz w:val="24"/>
            <w:szCs w:val="24"/>
            <w:u w:val="single"/>
            <w:lang w:val="lv-LV" w:eastAsia="lv-LV"/>
          </w:rPr>
          <w:t>https://www.apache.org</w:t>
        </w:r>
      </w:hyperlink>
      <w:r>
        <w:rPr>
          <w:rFonts w:ascii="Times New Roman" w:eastAsia="Times New Roman" w:hAnsi="Times New Roman" w:cs="Times New Roman"/>
          <w:color w:val="000000"/>
          <w:sz w:val="24"/>
          <w:szCs w:val="24"/>
          <w:lang w:val="lv-LV" w:eastAsia="lv-LV"/>
        </w:rPr>
        <w:t>), kas jau 20 gadus nodarbojas ar atvērtā koda risinājumu veicināšanu un izplatīšanu.</w:t>
      </w:r>
    </w:p>
    <w:p w14:paraId="072F7752" w14:textId="77777777" w:rsidR="00553AF1" w:rsidRDefault="00A11AB4">
      <w:pPr>
        <w:spacing w:after="1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b/>
        <w:t>Projektam attīstoties, to sadalīja 2 daļās:</w:t>
      </w:r>
    </w:p>
    <w:p w14:paraId="4301398A" w14:textId="77777777" w:rsidR="00553AF1" w:rsidRDefault="00A11AB4">
      <w:pPr>
        <w:numPr>
          <w:ilvl w:val="0"/>
          <w:numId w:val="2"/>
        </w:numPr>
        <w:spacing w:after="0" w:line="240" w:lineRule="auto"/>
        <w:jc w:val="both"/>
        <w:textAlignment w:val="baseline"/>
      </w:pPr>
      <w:r>
        <w:rPr>
          <w:rFonts w:ascii="Times New Roman" w:eastAsia="Times New Roman" w:hAnsi="Times New Roman" w:cs="Times New Roman"/>
          <w:color w:val="000000"/>
          <w:sz w:val="24"/>
          <w:szCs w:val="24"/>
          <w:lang w:val="lv-LV" w:eastAsia="lv-LV"/>
        </w:rPr>
        <w:t xml:space="preserve">Kodols (backend), kas nodrošina transakcijas, datu saglabāšanu un atlasi, atskaišu datu veidošanu un citas būtiskas dabības. Kodola projekta nosaukums Apache Fineract, izejas kods pieejams </w:t>
      </w:r>
      <w:hyperlink r:id="rId9">
        <w:r>
          <w:rPr>
            <w:rFonts w:ascii="Times New Roman" w:eastAsia="Times New Roman" w:hAnsi="Times New Roman" w:cs="Times New Roman"/>
            <w:color w:val="1155CC"/>
            <w:sz w:val="24"/>
            <w:szCs w:val="24"/>
            <w:u w:val="single"/>
            <w:lang w:val="lv-LV" w:eastAsia="lv-LV"/>
          </w:rPr>
          <w:t>https://github.com/apache/fineract</w:t>
        </w:r>
      </w:hyperlink>
      <w:r>
        <w:rPr>
          <w:rFonts w:ascii="Times New Roman" w:eastAsia="Times New Roman" w:hAnsi="Times New Roman" w:cs="Times New Roman"/>
          <w:color w:val="000000"/>
          <w:sz w:val="24"/>
          <w:szCs w:val="24"/>
          <w:lang w:val="lv-LV" w:eastAsia="lv-LV"/>
        </w:rPr>
        <w:t xml:space="preserve">. Projekts atrodas stabilas darbības fāzē un būtiskas izmaiņas nav paredzētas. API dokumentācija pieejama </w:t>
      </w:r>
      <w:hyperlink r:id="rId10">
        <w:r>
          <w:rPr>
            <w:rFonts w:ascii="Times New Roman" w:eastAsia="Times New Roman" w:hAnsi="Times New Roman" w:cs="Times New Roman"/>
            <w:color w:val="1155CC"/>
            <w:sz w:val="24"/>
            <w:szCs w:val="24"/>
            <w:u w:val="single"/>
            <w:lang w:val="lv-LV" w:eastAsia="lv-LV"/>
          </w:rPr>
          <w:t>https://demo.fineract.dev/fineract-provider/api-docs/apiLive.htm</w:t>
        </w:r>
      </w:hyperlink>
      <w:r>
        <w:rPr>
          <w:rFonts w:ascii="Times New Roman" w:eastAsia="Times New Roman" w:hAnsi="Times New Roman" w:cs="Times New Roman"/>
          <w:color w:val="000000"/>
          <w:sz w:val="24"/>
          <w:szCs w:val="24"/>
          <w:lang w:val="lv-LV" w:eastAsia="lv-LV"/>
        </w:rPr>
        <w:t>.</w:t>
      </w:r>
    </w:p>
    <w:p w14:paraId="2109382E" w14:textId="77777777" w:rsidR="00553AF1" w:rsidRDefault="00A11AB4">
      <w:pPr>
        <w:numPr>
          <w:ilvl w:val="0"/>
          <w:numId w:val="2"/>
        </w:numPr>
        <w:spacing w:after="140" w:line="240" w:lineRule="auto"/>
        <w:jc w:val="both"/>
        <w:textAlignment w:val="baseline"/>
      </w:pPr>
      <w:r>
        <w:rPr>
          <w:rFonts w:ascii="Times New Roman" w:eastAsia="Times New Roman" w:hAnsi="Times New Roman" w:cs="Times New Roman"/>
          <w:color w:val="000000"/>
          <w:sz w:val="24"/>
          <w:szCs w:val="24"/>
          <w:lang w:val="lv-LV" w:eastAsia="lv-LV"/>
        </w:rPr>
        <w:t>Lietotāja saskarne, kas izmanto kodola funkcionalitāti. Projekta nosaukums MifosX Community App (</w:t>
      </w:r>
      <w:hyperlink r:id="rId11">
        <w:r>
          <w:rPr>
            <w:rFonts w:ascii="Times New Roman" w:eastAsia="Times New Roman" w:hAnsi="Times New Roman" w:cs="Times New Roman"/>
            <w:color w:val="1155CC"/>
            <w:sz w:val="24"/>
            <w:szCs w:val="24"/>
            <w:u w:val="single"/>
            <w:lang w:val="lv-LV" w:eastAsia="lv-LV"/>
          </w:rPr>
          <w:t>https://github.com/openMF/community-app</w:t>
        </w:r>
      </w:hyperlink>
      <w:r>
        <w:rPr>
          <w:rFonts w:ascii="Times New Roman" w:eastAsia="Times New Roman" w:hAnsi="Times New Roman" w:cs="Times New Roman"/>
          <w:color w:val="000000"/>
          <w:sz w:val="24"/>
          <w:szCs w:val="24"/>
          <w:lang w:val="lv-LV" w:eastAsia="lv-LV"/>
        </w:rPr>
        <w:t>), un tā galvenais uzdevums ir būt par paraugu kodola funkciju izmantošanai.</w:t>
      </w:r>
    </w:p>
    <w:p w14:paraId="79BCF667"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Kodola attīstība notiek straujāk par lietotāja saskarni, un ne visa kodola funkcionalitāte, īpaši jaunākā, atrodama lietotāja saskarnē. Tomēr nekas netraucē MifosX Community App šīs funkcijas pievienot, pieslēgt vai izmainīt, vai izveidot atsevišķu, alternatīvu saskarni. Līdzīgi, kodola API var izmantot kodola sasaitei ar citām, ārējām sistēmām atkarībā no lietotāja vajadzībām (piemēram, kredītreģistru vai uzņēmumu reģistru, un tml.).</w:t>
      </w:r>
    </w:p>
    <w:p w14:paraId="6145C860"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Pēdējā kodola versija ar numuru 1.4.0 iznākusi 2020. gada 4. oktobrī. Pēdējā MifosX Community App versija iznākusi 2018. gada 31. martā ar numuru 18.01.03.</w:t>
      </w:r>
    </w:p>
    <w:p w14:paraId="4D24E790"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Reālo programmas attīstības darbu veic programmētāji no sistēmas lietotāju organizācijām, un/vai firmas, kas uztur lietotāju sistēmas, jomas entuziasti un citas ieinteresētās personas, un to visu koordinē daži vadošie izstrādātāji. No izstrādātāja ilgtspējības viedokļa šī kompleksa imantošana ir pietiekami droša: pat ja kaut kādu iemeslu dēļ Apache fonds pārtrauc darbību, tiesības lietot kompleksu nav atņemamas un izejas kods ir pieejams un pašā sliktākajā gadījumā attīstāms pašu spēkiem, kā arī tiešā sadarbībā ar citiem sistēmas lietotājiem pasaulē.</w:t>
      </w:r>
    </w:p>
    <w:p w14:paraId="1BD44D3E"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Pašreizējais Fineract kodola lietotāju saraksts pieejams adresē </w:t>
      </w:r>
      <w:hyperlink r:id="rId12">
        <w:r>
          <w:rPr>
            <w:rFonts w:ascii="Times New Roman" w:eastAsia="Times New Roman" w:hAnsi="Times New Roman" w:cs="Times New Roman"/>
            <w:color w:val="000080"/>
            <w:sz w:val="24"/>
            <w:szCs w:val="24"/>
            <w:u w:val="single"/>
            <w:lang w:val="lv-LV" w:eastAsia="lv-LV"/>
          </w:rPr>
          <w:t>https://mifos.org/impact/powered-by-mifos/</w:t>
        </w:r>
      </w:hyperlink>
      <w:r>
        <w:rPr>
          <w:rFonts w:ascii="Times New Roman" w:eastAsia="Times New Roman" w:hAnsi="Times New Roman" w:cs="Times New Roman"/>
          <w:color w:val="000000"/>
          <w:sz w:val="24"/>
          <w:szCs w:val="24"/>
          <w:lang w:val="lv-LV" w:eastAsia="lv-LV"/>
        </w:rPr>
        <w:t>. Starp tiem ir nelielas bankas, finanšu jaunuzņēmumi un mikrokredītu izsniedzēji ASV, Indijā un Āfrikā, lielākie no tiem ar klientu skaitu līdz dažiem miljoniem. Daudzās pasaules valstīs ir firmas, kas nodarbojas ar Fineract/MifosX kompleksa tehnisko atbalstu, nemainītā vai pielāgotā versijā. Mifos Initiative nodarbojas arī ar partneru sertifikāciju un apmācību (</w:t>
      </w:r>
      <w:hyperlink r:id="rId13">
        <w:r>
          <w:rPr>
            <w:rFonts w:ascii="Times New Roman" w:eastAsia="Times New Roman" w:hAnsi="Times New Roman" w:cs="Times New Roman"/>
            <w:color w:val="000080"/>
            <w:sz w:val="24"/>
            <w:szCs w:val="24"/>
            <w:u w:val="single"/>
            <w:lang w:val="lv-LV" w:eastAsia="lv-LV"/>
          </w:rPr>
          <w:t>https://mifos.org/take-</w:t>
        </w:r>
        <w:r>
          <w:rPr>
            <w:rFonts w:ascii="Times New Roman" w:eastAsia="Times New Roman" w:hAnsi="Times New Roman" w:cs="Times New Roman"/>
            <w:color w:val="000080"/>
            <w:sz w:val="24"/>
            <w:szCs w:val="24"/>
            <w:u w:val="single"/>
            <w:lang w:val="lv-LV" w:eastAsia="lv-LV"/>
          </w:rPr>
          <w:lastRenderedPageBreak/>
          <w:t>action/partners/</w:t>
        </w:r>
      </w:hyperlink>
      <w:r>
        <w:rPr>
          <w:rFonts w:ascii="Times New Roman" w:eastAsia="Times New Roman" w:hAnsi="Times New Roman" w:cs="Times New Roman"/>
          <w:color w:val="000000"/>
          <w:sz w:val="24"/>
          <w:szCs w:val="24"/>
          <w:lang w:val="lv-LV" w:eastAsia="lv-LV"/>
        </w:rPr>
        <w:t>). Kopējais kompleksa vai tā atvasinājumu apkalpoto personu skaits pasaulē - ap 10 miljoni.</w:t>
      </w:r>
    </w:p>
    <w:p w14:paraId="3AA3F36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Kodola daļu iespējams izmantot ne tikai mikrokredītu organizāciju, krājaizdevu sabiedrību, kooperatīvu un nelielu banku vadīšanai, bet arī tā saucamo inovatīvo finanšu sistēmu apkalpošanai.</w:t>
      </w:r>
    </w:p>
    <w:p w14:paraId="3EBD92E1"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Demonstrācijas versija pieejama no </w:t>
      </w:r>
      <w:hyperlink r:id="rId14">
        <w:r>
          <w:rPr>
            <w:rFonts w:ascii="Times New Roman" w:eastAsia="Times New Roman" w:hAnsi="Times New Roman" w:cs="Times New Roman"/>
            <w:color w:val="1155CC"/>
            <w:sz w:val="24"/>
            <w:szCs w:val="24"/>
            <w:u w:val="single"/>
            <w:lang w:val="lv-LV" w:eastAsia="lv-LV"/>
          </w:rPr>
          <w:t>https://demo.mifos.io</w:t>
        </w:r>
      </w:hyperlink>
      <w:r>
        <w:rPr>
          <w:rFonts w:ascii="Times New Roman" w:eastAsia="Times New Roman" w:hAnsi="Times New Roman" w:cs="Times New Roman"/>
          <w:color w:val="000000"/>
          <w:sz w:val="24"/>
          <w:szCs w:val="24"/>
          <w:lang w:val="lv-LV" w:eastAsia="lv-LV"/>
        </w:rPr>
        <w:t>, kur iespējams ieiet publiskā testa sistēmā bez papildus instalēšanas un konfigurācijas darbībām, lai gūtu aptuvenu priekšstatu par sistēmas darbību.</w:t>
      </w:r>
    </w:p>
    <w:p w14:paraId="09B8A120"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Mifos Initiative partneru saraksts pieejams </w:t>
      </w:r>
      <w:hyperlink r:id="rId15">
        <w:r>
          <w:rPr>
            <w:rFonts w:ascii="Times New Roman" w:eastAsia="Times New Roman" w:hAnsi="Times New Roman" w:cs="Times New Roman"/>
            <w:color w:val="1155CC"/>
            <w:sz w:val="24"/>
            <w:szCs w:val="24"/>
            <w:u w:val="single"/>
            <w:lang w:val="lv-LV" w:eastAsia="lv-LV"/>
          </w:rPr>
          <w:t>https://mifos.org/directory/</w:t>
        </w:r>
      </w:hyperlink>
      <w:r>
        <w:rPr>
          <w:rFonts w:ascii="Times New Roman" w:eastAsia="Times New Roman" w:hAnsi="Times New Roman" w:cs="Times New Roman"/>
          <w:color w:val="000000"/>
          <w:sz w:val="24"/>
          <w:szCs w:val="24"/>
          <w:lang w:val="lv-LV" w:eastAsia="lv-LV"/>
        </w:rPr>
        <w:t xml:space="preserve">, no tām tuvākā atrodas Igaunijā (LifeUp, </w:t>
      </w:r>
      <w:hyperlink r:id="rId16">
        <w:r>
          <w:rPr>
            <w:rFonts w:ascii="Times New Roman" w:eastAsia="Times New Roman" w:hAnsi="Times New Roman" w:cs="Times New Roman"/>
            <w:color w:val="1155CC"/>
            <w:sz w:val="24"/>
            <w:szCs w:val="24"/>
            <w:u w:val="single"/>
            <w:lang w:val="lv-LV" w:eastAsia="lv-LV"/>
          </w:rPr>
          <w:t>https://lifeup.ee</w:t>
        </w:r>
      </w:hyperlink>
      <w:r>
        <w:rPr>
          <w:rFonts w:ascii="Times New Roman" w:eastAsia="Times New Roman" w:hAnsi="Times New Roman" w:cs="Times New Roman"/>
          <w:color w:val="000000"/>
          <w:sz w:val="24"/>
          <w:szCs w:val="24"/>
          <w:lang w:val="lv-LV" w:eastAsia="lv-LV"/>
        </w:rPr>
        <w:t>). Firmas mājaslapā redzami ekrāna attēli no Apache Fineract/MifosX sistēmas (</w:t>
      </w:r>
      <w:hyperlink r:id="rId17">
        <w:r>
          <w:rPr>
            <w:rFonts w:ascii="Times New Roman" w:eastAsia="Times New Roman" w:hAnsi="Times New Roman" w:cs="Times New Roman"/>
            <w:color w:val="1155CC"/>
            <w:sz w:val="24"/>
            <w:szCs w:val="24"/>
            <w:u w:val="single"/>
            <w:lang w:val="lv-LV" w:eastAsia="lv-LV"/>
          </w:rPr>
          <w:t>https://lifeup.ee/ru/products/core-banking-module/</w:t>
        </w:r>
      </w:hyperlink>
      <w:r>
        <w:rPr>
          <w:rFonts w:ascii="Times New Roman" w:eastAsia="Times New Roman" w:hAnsi="Times New Roman" w:cs="Times New Roman"/>
          <w:color w:val="000000"/>
          <w:sz w:val="24"/>
          <w:szCs w:val="24"/>
          <w:lang w:val="lv-LV" w:eastAsia="lv-LV"/>
        </w:rPr>
        <w:t>).</w:t>
      </w:r>
    </w:p>
    <w:p w14:paraId="0B0A04DF"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2020.gada 29. septembrī notika ApacheCon konference, kurā viena no plūsmām bija tieši par Fineract kodolu (</w:t>
      </w:r>
      <w:hyperlink r:id="rId18">
        <w:r>
          <w:rPr>
            <w:rFonts w:ascii="Times New Roman" w:eastAsia="Times New Roman" w:hAnsi="Times New Roman" w:cs="Times New Roman"/>
            <w:color w:val="1155CC"/>
            <w:sz w:val="24"/>
            <w:szCs w:val="24"/>
            <w:u w:val="single"/>
            <w:lang w:val="lv-LV" w:eastAsia="lv-LV"/>
          </w:rPr>
          <w:t>https://apachecon.com/acah2020/tracks/fineract.html</w:t>
        </w:r>
      </w:hyperlink>
      <w:r>
        <w:rPr>
          <w:rFonts w:ascii="Times New Roman" w:eastAsia="Times New Roman" w:hAnsi="Times New Roman" w:cs="Times New Roman"/>
          <w:color w:val="000000"/>
          <w:sz w:val="24"/>
          <w:szCs w:val="24"/>
          <w:lang w:val="lv-LV" w:eastAsia="lv-LV"/>
        </w:rPr>
        <w:t>). Konferences materiāli drīzumā būs pieejami lejupielādei. Īsa informācija par referātiem pieejama šai pašā adresē.</w:t>
      </w:r>
    </w:p>
    <w:p w14:paraId="1A6993FD"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Pašlaik norit darbs pie nākamās Fineract paaudzes ar nosaukumu Fineract CN (saīsinājums no Cloud Native), kas ir būvēts no atsevišķiem mikroservisiem, tādējādi daudz vieglāk un efektīvāk mērogojams nekā iepriekšējās paaudzes kodols, lai arī sarežģītāks pēc uzbūves. Saskaņā ar sākotnējiem datiem, tās ātrdarbība plānota ap 1000 transakcijām sekundē.</w:t>
      </w:r>
    </w:p>
    <w:p w14:paraId="5F5F147E" w14:textId="77777777" w:rsidR="00553AF1" w:rsidRDefault="00A11AB4">
      <w:pPr>
        <w:spacing w:after="0" w:line="240" w:lineRule="auto"/>
        <w:rPr>
          <w:rFonts w:ascii="Times New Roman" w:eastAsia="Times New Roman" w:hAnsi="Times New Roman" w:cs="Times New Roman"/>
          <w:sz w:val="24"/>
          <w:szCs w:val="24"/>
          <w:lang w:val="lv-LV" w:eastAsia="lv-LV"/>
        </w:rPr>
      </w:pPr>
      <w:r>
        <w:br w:type="page"/>
      </w:r>
    </w:p>
    <w:p w14:paraId="5DA21FD5" w14:textId="77777777" w:rsidR="00553AF1" w:rsidRDefault="00553AF1">
      <w:pPr>
        <w:spacing w:after="0" w:line="240" w:lineRule="auto"/>
        <w:rPr>
          <w:rFonts w:ascii="Times New Roman" w:eastAsia="Times New Roman" w:hAnsi="Times New Roman" w:cs="Times New Roman"/>
          <w:sz w:val="24"/>
          <w:szCs w:val="24"/>
          <w:lang w:val="lv-LV" w:eastAsia="lv-LV"/>
        </w:rPr>
      </w:pPr>
    </w:p>
    <w:p w14:paraId="2FAC0419" w14:textId="77777777" w:rsidR="00553AF1" w:rsidRDefault="00A11AB4">
      <w:pPr>
        <w:numPr>
          <w:ilvl w:val="0"/>
          <w:numId w:val="3"/>
        </w:numPr>
        <w:spacing w:before="240" w:after="120" w:line="240" w:lineRule="auto"/>
        <w:ind w:left="360"/>
        <w:jc w:val="both"/>
        <w:textAlignment w:val="baseline"/>
        <w:outlineLvl w:val="0"/>
        <w:rPr>
          <w:rFonts w:ascii="Times New Roman" w:eastAsia="Times New Roman" w:hAnsi="Times New Roman" w:cs="Times New Roman"/>
          <w:b/>
          <w:bCs/>
          <w:color w:val="000000"/>
          <w:kern w:val="2"/>
          <w:sz w:val="36"/>
          <w:szCs w:val="36"/>
          <w:lang w:val="lv-LV" w:eastAsia="lv-LV"/>
        </w:rPr>
      </w:pPr>
      <w:r>
        <w:rPr>
          <w:rFonts w:ascii="Times New Roman" w:eastAsia="Times New Roman" w:hAnsi="Times New Roman" w:cs="Times New Roman"/>
          <w:b/>
          <w:bCs/>
          <w:color w:val="000000"/>
          <w:kern w:val="2"/>
          <w:sz w:val="36"/>
          <w:szCs w:val="36"/>
          <w:lang w:val="lv-LV" w:eastAsia="lv-LV"/>
        </w:rPr>
        <w:t xml:space="preserve"> MifosX apjoma un izmaksu novērtējums</w:t>
      </w:r>
    </w:p>
    <w:p w14:paraId="75260520"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Sistēmas izvērtēšanas gaitā notika MifosX instalācija uz speciāli noorganizēta servera. Dažāda veida īpatnības vai novirzes dokumentētas.</w:t>
      </w:r>
    </w:p>
    <w:p w14:paraId="4E9F98DB"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Sistēmas lietojamības izvērtējums sākās ar reāli esošiem datiem atbilstošu paraugdatu ievadi un sistēmas konfigurāciju. Izvērtējumu no dažāda līmeņa lietotāju viedokļa veica cilvēki, kuriem ir ievērojama pieredze nebanku sektora finanšu vadībā (konkrēti, krājaizdevu sabiedrību vadībā). Novērojumi un secinājumi izklāstīti šajā dokumentā.</w:t>
      </w:r>
    </w:p>
    <w:p w14:paraId="5BB7E9B1"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Informācija par kompleksa arhitektūru, ierobežojumiem un licencēšanas nosacījumiem iegūta no MifosX mājaslapas.</w:t>
      </w:r>
    </w:p>
    <w:p w14:paraId="398D06DD"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Izmaksu novērtējums vēl neīstenotam projektam ir viena no sarežģītākajām problēmām IT projektu izstrādē. Parasti novērtējumu veic, salīdzinot ar līdzīgu projektu izmaksām. Projekta novērtējums pēc pabeigšanas tiek izmantots citu projektu prognozēm. Šajā darbā ir pieejams viss jau realizētais projekts izejas koda veidā (</w:t>
      </w:r>
      <w:r>
        <w:rPr>
          <w:rFonts w:ascii="Times New Roman" w:eastAsia="Times New Roman" w:hAnsi="Times New Roman" w:cs="Times New Roman"/>
          <w:i/>
          <w:iCs/>
          <w:color w:val="000000"/>
          <w:sz w:val="24"/>
          <w:szCs w:val="24"/>
          <w:lang w:val="lv-LV" w:eastAsia="lv-LV"/>
        </w:rPr>
        <w:t>MifosX/Fineract</w:t>
      </w:r>
      <w:r>
        <w:rPr>
          <w:rFonts w:ascii="Times New Roman" w:eastAsia="Times New Roman" w:hAnsi="Times New Roman" w:cs="Times New Roman"/>
          <w:color w:val="000000"/>
          <w:sz w:val="24"/>
          <w:szCs w:val="24"/>
          <w:lang w:val="lv-LV" w:eastAsia="lv-LV"/>
        </w:rPr>
        <w:t>), tāpēc līdzīga projekta izveides izmaksas var noteikt salīdzinoši precīzi.</w:t>
      </w:r>
    </w:p>
    <w:p w14:paraId="724D24C6"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Izmaksu novērtējums visam projektam, ja šāda sistēma būtu jāveido no jauna, iegūts no izmaksu novērtējuma pēc 2 metodēm: izejas koda  un organizācijas ziņojumiem par projektam iztērētajiem līdzekļiem. Atsevišķo funkcionalitāšu izstrādes izmaksas iegūtas, kopējās izmaksas sadalot pa punktiem.</w:t>
      </w:r>
    </w:p>
    <w:p w14:paraId="1488ADA1"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2.1.</w:t>
      </w:r>
      <w:r>
        <w:rPr>
          <w:rFonts w:ascii="Times New Roman" w:eastAsia="Times New Roman" w:hAnsi="Times New Roman" w:cs="Times New Roman"/>
          <w:b/>
          <w:bCs/>
          <w:color w:val="000000"/>
          <w:sz w:val="28"/>
          <w:szCs w:val="28"/>
          <w:lang w:val="lv-LV" w:eastAsia="lv-LV"/>
        </w:rPr>
        <w:t xml:space="preserve"> </w:t>
      </w:r>
      <w:r>
        <w:rPr>
          <w:rFonts w:ascii="Times New Roman" w:eastAsia="Times New Roman" w:hAnsi="Times New Roman" w:cs="Times New Roman"/>
          <w:b/>
          <w:bCs/>
          <w:color w:val="000000"/>
          <w:sz w:val="32"/>
          <w:szCs w:val="32"/>
          <w:lang w:val="lv-LV" w:eastAsia="lv-LV"/>
        </w:rPr>
        <w:t>Projekta apjoma novērtējums pēc izejas koda</w:t>
      </w:r>
    </w:p>
    <w:p w14:paraId="5A79A9F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Viena metode ir projekta apjoma un izmaksu novērtēšana pēc izejas koda rindiņu skaita. Metode balstās uz novērojumu, ka projekta izstādē patērētos resursus var vismaz aputeni novērtēt pēc izejas koda skaitliskās analīzes. COCOMO metode programmatūras projektu izmaksu novērtēšanai tiek izmantota kopš astoņdesmitajiem gadiem, kad tika izveidota pēc dažādu realizētu projektu izmaksu analīzes. Metode nozarē tiek izmantota ilgu laiku un diezgan labi parāda projektā ieguldīto darba daudzumu. Īpaši labi izmantojama lielu institucionālo projektu novērtēšanai, ja ir pieejams izejas kods un zināms projekta izpildes veids un vide, kurai programmatūra domāta. Novērtējums ietver visa programmatūras izstrādes procesa izmaksas: prasību apkopošanu, planošanu un dizainu, kodēšanu, testēšanu un defektu labošanu, instalēšanu, apmācību un dokumentācijas izstrādi. </w:t>
      </w:r>
    </w:p>
    <w:p w14:paraId="087A5694"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COCOMO metode nevar novērtēt dažādus netehniska rakstura faktorus, tādus kā sadarbības efektivatāte ar klientu, kultūras īpatnības un tamlīdzīgi, kā arī nav precīza projektu novērtēšanai, kuros ir daudz nezināmo - tas ir, kad jāizstrādā inovatīvi risinājumi. MifosX ir jau gatavs produkts ar labi zināmām prasībām, tāpēc šai ziņā COCOMO metode ir piemērota.</w:t>
      </w:r>
    </w:p>
    <w:p w14:paraId="58582A2E"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Izejas kods analīzei tika ņemts no projekta koda repozitorijiem Github (</w:t>
      </w:r>
      <w:hyperlink r:id="rId19">
        <w:r>
          <w:rPr>
            <w:rFonts w:ascii="Times New Roman" w:eastAsia="Times New Roman" w:hAnsi="Times New Roman" w:cs="Times New Roman"/>
            <w:color w:val="1155CC"/>
            <w:sz w:val="24"/>
            <w:szCs w:val="24"/>
            <w:u w:val="single"/>
            <w:lang w:val="lv-LV" w:eastAsia="lv-LV"/>
          </w:rPr>
          <w:t>https://github.com/apache/fineract</w:t>
        </w:r>
      </w:hyperlink>
      <w:r>
        <w:rPr>
          <w:rFonts w:ascii="Times New Roman" w:eastAsia="Times New Roman" w:hAnsi="Times New Roman" w:cs="Times New Roman"/>
          <w:color w:val="000000"/>
          <w:sz w:val="24"/>
          <w:szCs w:val="24"/>
          <w:lang w:val="lv-LV" w:eastAsia="lv-LV"/>
        </w:rPr>
        <w:t xml:space="preserve"> un </w:t>
      </w:r>
      <w:hyperlink r:id="rId20">
        <w:r>
          <w:rPr>
            <w:rFonts w:ascii="Times New Roman" w:eastAsia="Times New Roman" w:hAnsi="Times New Roman" w:cs="Times New Roman"/>
            <w:color w:val="1155CC"/>
            <w:sz w:val="24"/>
            <w:szCs w:val="24"/>
            <w:u w:val="single"/>
            <w:lang w:val="lv-LV" w:eastAsia="lv-LV"/>
          </w:rPr>
          <w:t>https://github.com/openMF/community-app</w:t>
        </w:r>
      </w:hyperlink>
      <w:r>
        <w:rPr>
          <w:rFonts w:ascii="Times New Roman" w:eastAsia="Times New Roman" w:hAnsi="Times New Roman" w:cs="Times New Roman"/>
          <w:color w:val="000000"/>
          <w:sz w:val="24"/>
          <w:szCs w:val="24"/>
          <w:lang w:val="lv-LV" w:eastAsia="lv-LV"/>
        </w:rPr>
        <w:t>). Dati par datu bāzes struktūru iegūti no instalētās datu bāzes.</w:t>
      </w:r>
    </w:p>
    <w:p w14:paraId="49570C50" w14:textId="77777777" w:rsidR="00553AF1" w:rsidRDefault="00A11AB4">
      <w:pPr>
        <w:spacing w:after="140" w:line="240" w:lineRule="auto"/>
        <w:ind w:firstLine="720"/>
        <w:jc w:val="both"/>
      </w:pPr>
      <w:r>
        <w:rPr>
          <w:rFonts w:ascii="Times New Roman" w:eastAsia="Times New Roman" w:hAnsi="Times New Roman" w:cs="Times New Roman"/>
          <w:color w:val="000000"/>
          <w:sz w:val="24"/>
          <w:szCs w:val="24"/>
          <w:lang w:val="lv-LV" w:eastAsia="lv-LV"/>
        </w:rPr>
        <w:t>Lai noteiktu darba apjomu līdzīga projekta izveidē, saskaņā ar pirmajā nodaļā aprakstīto metodiku tika atsevišķi novērtēts Fineract kodola un MifosX Community App izstrādē ieguldītais darbs. Novērtējums veikts pēc minimālo izmaksu principa, tādējādi iegūstot mazāko naudas un laika daudzumu, kas jāiegulda līdzīgas sistēmas izveidošanai.</w:t>
      </w:r>
    </w:p>
    <w:p w14:paraId="2B803E98"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Paredzētais izmaksu novērtējums vienmēr ir neprecīzs, galvenokārt nepilnīgi noformulētu, iepriekš neparedzētu un/vai projekta gaitā mainīgu prasību dēļ, kā arī dažādu </w:t>
      </w:r>
      <w:r>
        <w:rPr>
          <w:rFonts w:ascii="Times New Roman" w:eastAsia="Times New Roman" w:hAnsi="Times New Roman" w:cs="Times New Roman"/>
          <w:color w:val="000000"/>
          <w:sz w:val="24"/>
          <w:szCs w:val="24"/>
          <w:lang w:val="lv-LV" w:eastAsia="lv-LV"/>
        </w:rPr>
        <w:lastRenderedPageBreak/>
        <w:t>cilvēkfaktoru dēļ. Par labu novērtējumu tiek uzskatīts tāds, kura paredzamās un faktiskās izmaksas neatšķiras vairāk kā par 10%. Ja iespējams, nenoteikto izmaksu dēļ vienmēr dodama priekšroka jau gataviem risinājumiem, to pielāgošana konkrētajam lietotājam ir zemāka riska pasākums nekā jauna produkta izstrāde.</w:t>
      </w:r>
    </w:p>
    <w:p w14:paraId="71EE056A"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2.1.1. Fineract kodola izveides izmaksas</w:t>
      </w:r>
    </w:p>
    <w:p w14:paraId="53529630"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Apstrādei izmantots pakalpojums atvērtā koda programmatūras projektu automatizētais raksturošanai pēc COCOMO metodes (</w:t>
      </w:r>
      <w:hyperlink r:id="rId21">
        <w:r>
          <w:rPr>
            <w:rFonts w:ascii="Times New Roman" w:eastAsia="Times New Roman" w:hAnsi="Times New Roman" w:cs="Times New Roman"/>
            <w:color w:val="1155CC"/>
            <w:sz w:val="24"/>
            <w:szCs w:val="24"/>
            <w:u w:val="single"/>
            <w:lang w:val="lv-LV" w:eastAsia="lv-LV"/>
          </w:rPr>
          <w:t>https://www.openhub.net</w:t>
        </w:r>
      </w:hyperlink>
      <w:r>
        <w:rPr>
          <w:rFonts w:ascii="Times New Roman" w:eastAsia="Times New Roman" w:hAnsi="Times New Roman" w:cs="Times New Roman"/>
          <w:color w:val="000000"/>
          <w:sz w:val="24"/>
          <w:szCs w:val="24"/>
          <w:lang w:val="lv-LV" w:eastAsia="lv-LV"/>
        </w:rPr>
        <w:t xml:space="preserve">) Black Duck Open Hub projektā, kura būtība ir jaunākās informācijas apkopošana par dažādiem atvērtā koda risinājumiem. Izmaksu kalkulators Fineract pieejams adresē </w:t>
      </w:r>
      <w:hyperlink r:id="rId22">
        <w:r>
          <w:rPr>
            <w:rFonts w:ascii="Times New Roman" w:eastAsia="Times New Roman" w:hAnsi="Times New Roman" w:cs="Times New Roman"/>
            <w:color w:val="1155CC"/>
            <w:sz w:val="24"/>
            <w:szCs w:val="24"/>
            <w:u w:val="single"/>
            <w:lang w:val="lv-LV" w:eastAsia="lv-LV"/>
          </w:rPr>
          <w:t>https://www.openhub.net/p/fineract/estimated_cost</w:t>
        </w:r>
      </w:hyperlink>
      <w:r>
        <w:rPr>
          <w:rFonts w:ascii="Times New Roman" w:eastAsia="Times New Roman" w:hAnsi="Times New Roman" w:cs="Times New Roman"/>
          <w:color w:val="000000"/>
          <w:sz w:val="24"/>
          <w:szCs w:val="24"/>
          <w:lang w:val="lv-LV" w:eastAsia="lv-LV"/>
        </w:rPr>
        <w:t>.</w:t>
      </w:r>
    </w:p>
    <w:p w14:paraId="225891D2"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Novērtējumā izmantotas reālas minimālās izmaksas: projekta veids - bez īpašām prasībām; vidējā programmētāja alga Latvijā, ieskaitot nodokļus, ap 2000 USD mēnesī vai 24000 USD gadā; un aprēķinā izmantotas tikai tās izejas koda rindas, kurās ir loģiskās komandas (tas ir, izlaižot komentārus, tukšās rindas un aizzīmes) - kopā 332 000 rindu.</w:t>
      </w:r>
    </w:p>
    <w:p w14:paraId="3ADEEBB9"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Ievērojot, ka COCOMO metode visprecīzāk attēlo lielu projektu izmaksas, bet pārspīlē mazu projektu izmaksas, Black Duck Open Hub aprēķinātais izmaksu novērtējums samazināts 1,5 reizes. Par mazu projektu tiek uzskatīts projekts, kurā ir ap 1000 koda rindiņu vai mazāk, par lielu - tāds, kurā ir vairāk par 1 miljonu. Pēc šīm vadlīnijām, Fineract ir vidēja mēroga projekts, tādēļ arī piemērots izmaksu samazinājuma koeficients.</w:t>
      </w:r>
    </w:p>
    <w:p w14:paraId="1505E829"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Rezultātā iegūtās kopējās minimālās kodola izmaksas ir vismaz 1 421 000 ASV dolāru Latvijas darba algās, jeb gandrīz 60 cilvēkgadi (123 300 darba stundu).</w:t>
      </w:r>
    </w:p>
    <w:p w14:paraId="1EA8191B"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2.1.2. MifosX Community App izveides izmaksas</w:t>
      </w:r>
    </w:p>
    <w:p w14:paraId="31D7DABB" w14:textId="77777777" w:rsidR="00553AF1" w:rsidRDefault="00A11AB4">
      <w:pPr>
        <w:spacing w:after="140" w:line="240" w:lineRule="auto"/>
        <w:jc w:val="both"/>
      </w:pPr>
      <w:r>
        <w:rPr>
          <w:rFonts w:ascii="Times New Roman" w:eastAsia="Times New Roman" w:hAnsi="Times New Roman" w:cs="Times New Roman"/>
          <w:color w:val="000000"/>
          <w:sz w:val="24"/>
          <w:szCs w:val="24"/>
          <w:lang w:val="lv-LV" w:eastAsia="lv-LV"/>
        </w:rPr>
        <w:tab/>
        <w:t xml:space="preserve">Izmaksu novērtējumam izmantots tas pats resurss, kas iepriekšējā punktā. Izmaksu kalkulatora adrese: </w:t>
      </w:r>
      <w:hyperlink r:id="rId23">
        <w:r>
          <w:rPr>
            <w:rFonts w:ascii="Times New Roman" w:eastAsia="Times New Roman" w:hAnsi="Times New Roman" w:cs="Times New Roman"/>
            <w:color w:val="1155CC"/>
            <w:sz w:val="24"/>
            <w:szCs w:val="24"/>
            <w:u w:val="single"/>
            <w:lang w:val="lv-LV" w:eastAsia="lv-LV"/>
          </w:rPr>
          <w:t>https://www.openhub.net/p/community-app/estimated_cost</w:t>
        </w:r>
      </w:hyperlink>
      <w:r>
        <w:rPr>
          <w:rFonts w:ascii="Times New Roman" w:eastAsia="Times New Roman" w:hAnsi="Times New Roman" w:cs="Times New Roman"/>
          <w:color w:val="000000"/>
          <w:sz w:val="24"/>
          <w:szCs w:val="24"/>
          <w:lang w:val="lv-LV" w:eastAsia="lv-LV"/>
        </w:rPr>
        <w:t>.</w:t>
      </w:r>
    </w:p>
    <w:p w14:paraId="40EEFB12"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Novērtējumā izmantotas reālas minimālās izmaksas: projekta veids - bez īpašām prasībām; vidējā programmētāja alga Latvijā, ieskaitot nodokļus, ap 2000 USD mēnesī vai 24000 USD gadā; un aprēķinā izmantotas tikai tās izejas koda rindas, kurās ir loģiskās komandas (tas ir, izlaižot komentārus, tukšās rindas un aizzīmes) - kopā 44 600 rindu. Arī šim projektam piemērots izmaksu samazinājuma koeficients 2, jo projekts apjoms ir tuvāks maza izmēra projektam nekā lielam. Pieaugot projekta rindiņu skaitām, tā darbietilpība pieaug eksponenciāli.</w:t>
      </w:r>
    </w:p>
    <w:p w14:paraId="2B22B1CA"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Kopējās izveides izmaksas: vismaz 5,5 cilvēkgadi jeb 11 440 darba stundas, 130 000 USD.</w:t>
      </w:r>
    </w:p>
    <w:p w14:paraId="6D0B5A76"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2.1.3. Dokumentācijas izmaksas</w:t>
      </w:r>
    </w:p>
    <w:p w14:paraId="679A5707"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Viens no veidiem, kā mērīt dokumentācijas apjomu, ir nosacītajās lappusēs. Ir zināms, ka dokumentācijas izveide paņem apmēram 2 stundas katrai lappusei. Dokumentācijas pārskatīšana un atjaunošana prasa apmēram vienu stundu par lappusi. Atbilstoši, ja izmēra MifosX/Fineract kopējo dokumentācijas apjomu zīmēs, no tā var aprēķināt lappušu skaitu un aptuveno ieguldījumu darba stundās.</w:t>
      </w:r>
    </w:p>
    <w:p w14:paraId="2709929E"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Dokumentācija sastāv no lietotāju dokumentācijas un izstrādātāju dokumentācijas. Lietotāja dokumentācija ir vismaz 100 lappušu apmērā, neskaitot ietvertos attēlus, tādējādi absolūtais patērētais darba minimums ir 200 darba stundas. Fineract API Izstrādātāju dokumentācija ir vismaz 500 lappuses, kas ir apmēram 1000 darba stundas. Salīdzinot ar statistikas datiem, kas vidēja izmēra projektiem dokumentācijā ieguldīto darbu prognozē </w:t>
      </w:r>
      <w:r>
        <w:rPr>
          <w:rFonts w:ascii="Times New Roman" w:eastAsia="Times New Roman" w:hAnsi="Times New Roman" w:cs="Times New Roman"/>
          <w:color w:val="000000"/>
          <w:sz w:val="24"/>
          <w:szCs w:val="24"/>
          <w:lang w:val="lv-LV" w:eastAsia="lv-LV"/>
        </w:rPr>
        <w:lastRenderedPageBreak/>
        <w:t>apmēram 10% no visām darba stundām, šis ir visai pieticīgs aprēķins, jo nav ietvertas darba laika izmaksas dokumentācijas atjaunošanai, nereti vairākas reizes, atkarībā no aprakstāmās funkcionalitātes izmaiņām. Pēc statistikas metodes, visa veida projekta dokumentācijai vajadzētu prasīt apmēram 12 300 darba stundu.</w:t>
      </w:r>
    </w:p>
    <w:p w14:paraId="354A8088" w14:textId="77777777" w:rsidR="00553AF1" w:rsidRDefault="00A11AB4">
      <w:pPr>
        <w:spacing w:after="140" w:line="240" w:lineRule="auto"/>
        <w:ind w:firstLine="720"/>
        <w:jc w:val="both"/>
      </w:pPr>
      <w:r>
        <w:rPr>
          <w:rFonts w:ascii="Times New Roman" w:eastAsia="Times New Roman" w:hAnsi="Times New Roman" w:cs="Times New Roman"/>
          <w:color w:val="000000"/>
          <w:sz w:val="24"/>
          <w:szCs w:val="24"/>
          <w:lang w:val="lv-LV" w:eastAsia="lv-LV"/>
        </w:rPr>
        <w:t>Veidojot video instrukcijas, nepieciešamais darba apjoms ir 1-3 stundas par katru video minūti, atkarībā no kvalitātes prasībām. Šāda veida izmaksas netika rēķinātas.</w:t>
      </w:r>
    </w:p>
    <w:p w14:paraId="06319FAD"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2.2. Projekta izmaksu novērtējums pēc publiskajiem datiem</w:t>
      </w:r>
    </w:p>
    <w:p w14:paraId="38C76127"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Mifos ir bezpeļņas organizācija un tās finanšu gada kopsavilkumi ir publiski pieejami (</w:t>
      </w:r>
      <w:hyperlink r:id="rId24">
        <w:r>
          <w:rPr>
            <w:rFonts w:ascii="Times New Roman" w:eastAsia="Times New Roman" w:hAnsi="Times New Roman" w:cs="Times New Roman"/>
            <w:color w:val="1155CC"/>
            <w:sz w:val="24"/>
            <w:szCs w:val="24"/>
            <w:u w:val="single"/>
            <w:lang w:val="lv-LV" w:eastAsia="lv-LV"/>
          </w:rPr>
          <w:t>https://mifos.org/about-us/financial-legal/</w:t>
        </w:r>
      </w:hyperlink>
      <w:r>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i/>
          <w:iCs/>
          <w:color w:val="000000"/>
          <w:sz w:val="24"/>
          <w:szCs w:val="24"/>
          <w:lang w:val="lv-LV" w:eastAsia="lv-LV"/>
        </w:rPr>
        <w:t>Form 990 Annual Return</w:t>
      </w:r>
      <w:r>
        <w:rPr>
          <w:rFonts w:ascii="Times New Roman" w:eastAsia="Times New Roman" w:hAnsi="Times New Roman" w:cs="Times New Roman"/>
          <w:color w:val="000000"/>
          <w:sz w:val="24"/>
          <w:szCs w:val="24"/>
          <w:lang w:val="lv-LV" w:eastAsia="lv-LV"/>
        </w:rPr>
        <w:t>). Kopsavilkumos redzams, cik naudas iztērēts programmatūras izstrādei. Ievērojot, ka Mifos ir organizācija vienam projektam, viegli aprēķināt kopējās izstrādes izmaksas.</w:t>
      </w:r>
    </w:p>
    <w:p w14:paraId="53E6DC93"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Zemāk redzamajā tabulā sniegts izstrādes izmaksu kopsavilkums.</w:t>
      </w:r>
    </w:p>
    <w:tbl>
      <w:tblPr>
        <w:tblW w:w="9006" w:type="dxa"/>
        <w:tblCellMar>
          <w:top w:w="100" w:type="dxa"/>
          <w:left w:w="100" w:type="dxa"/>
          <w:bottom w:w="100" w:type="dxa"/>
          <w:right w:w="100" w:type="dxa"/>
        </w:tblCellMar>
        <w:tblLook w:val="04A0" w:firstRow="1" w:lastRow="0" w:firstColumn="1" w:lastColumn="0" w:noHBand="0" w:noVBand="1"/>
      </w:tblPr>
      <w:tblGrid>
        <w:gridCol w:w="894"/>
        <w:gridCol w:w="1517"/>
        <w:gridCol w:w="6595"/>
      </w:tblGrid>
      <w:tr w:rsidR="00553AF1" w14:paraId="3CB8488F"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5AA8D136" w14:textId="77777777" w:rsidR="00553AF1" w:rsidRDefault="00A11AB4">
            <w:pPr>
              <w:spacing w:after="0" w:line="240" w:lineRule="auto"/>
              <w:jc w:val="center"/>
              <w:rPr>
                <w:b/>
                <w:bCs/>
              </w:rPr>
            </w:pPr>
            <w:r>
              <w:rPr>
                <w:rFonts w:ascii="Times New Roman" w:eastAsia="Times New Roman" w:hAnsi="Times New Roman" w:cs="Times New Roman"/>
                <w:b/>
                <w:bCs/>
                <w:color w:val="000000"/>
                <w:sz w:val="24"/>
                <w:szCs w:val="24"/>
                <w:lang w:val="lv-LV" w:eastAsia="lv-LV"/>
              </w:rPr>
              <w:t>Gads</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196EEE58" w14:textId="77777777" w:rsidR="00553AF1" w:rsidRDefault="00A11AB4">
            <w:pPr>
              <w:spacing w:after="0" w:line="240" w:lineRule="auto"/>
              <w:jc w:val="center"/>
              <w:rPr>
                <w:b/>
                <w:bCs/>
              </w:rPr>
            </w:pPr>
            <w:r>
              <w:rPr>
                <w:rFonts w:ascii="Times New Roman" w:eastAsia="Times New Roman" w:hAnsi="Times New Roman" w:cs="Times New Roman"/>
                <w:b/>
                <w:bCs/>
                <w:color w:val="000000"/>
                <w:sz w:val="24"/>
                <w:szCs w:val="24"/>
                <w:lang w:val="lv-LV" w:eastAsia="lv-LV"/>
              </w:rPr>
              <w:t>Iztērēts MifosX izstrādei, USD</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4FBA64C2" w14:textId="77777777" w:rsidR="00553AF1" w:rsidRDefault="00A11AB4">
            <w:pPr>
              <w:spacing w:after="0" w:line="240" w:lineRule="auto"/>
              <w:jc w:val="center"/>
              <w:rPr>
                <w:b/>
                <w:bCs/>
              </w:rPr>
            </w:pPr>
            <w:r>
              <w:rPr>
                <w:rFonts w:ascii="Times New Roman" w:eastAsia="Times New Roman" w:hAnsi="Times New Roman" w:cs="Times New Roman"/>
                <w:b/>
                <w:bCs/>
                <w:color w:val="000000"/>
                <w:sz w:val="24"/>
                <w:szCs w:val="24"/>
                <w:lang w:val="lv-LV" w:eastAsia="lv-LV"/>
              </w:rPr>
              <w:t>Piezīmes</w:t>
            </w:r>
          </w:p>
        </w:tc>
      </w:tr>
      <w:tr w:rsidR="00553AF1" w14:paraId="785DF290"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04C466E0"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2012</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7DAB597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224 000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31933B7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MifosX pārbūve. Tātad funkcionālās prasības ir zināmas no iepriekšējās versijas. Piedalās 5 algoti programmētāji.</w:t>
            </w:r>
          </w:p>
        </w:tc>
      </w:tr>
      <w:tr w:rsidR="00553AF1" w14:paraId="2111CFA6"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472F7B71"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2013</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039F8515"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253 000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19C120BE"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6 institūcijas ziedo kodu (faktiski darbaspēku) projekta vajadzībām. Uzrādītie izdevumi ir citi naudā mērāmi tēriņi.</w:t>
            </w:r>
          </w:p>
        </w:tc>
      </w:tr>
      <w:tr w:rsidR="00553AF1" w14:paraId="2F8718B2"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4357D6BE"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2014</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1BD5FCC9"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153 000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7B4F629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Izstrādāts Fineract Android klients</w:t>
            </w:r>
          </w:p>
        </w:tc>
      </w:tr>
      <w:tr w:rsidR="00553AF1" w14:paraId="59D264A2"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6CCB41A6"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2015</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4CA2671A"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323 000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0D5A3C92"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Sadalījums projekta ietvaros nav norādīts</w:t>
            </w:r>
          </w:p>
        </w:tc>
      </w:tr>
      <w:tr w:rsidR="00553AF1" w14:paraId="38F87BD5"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776B9282"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2016</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74E0887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323 000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64E17954"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Pievienots tīmekļa klients, darbs pie Android klienta, tiek projektēta nākamā kodola versija (Fineract CN). Faktiskie tēriņi ir 528 000 USD, šeit pie MifosX izstādes ieskaitam tikpat, cik 2015. gadā. Tas ir minējums, kas ir attaisnots minimālo izmaksu ieguvei.</w:t>
            </w:r>
          </w:p>
        </w:tc>
      </w:tr>
      <w:tr w:rsidR="00553AF1" w14:paraId="39430DB1"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2FB37EEF"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2017</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14196786"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80 000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2DA54B35"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Pievienota 2 faktoru autorizācija, SMS funkcijas un tml. Daļa no izdevumiem ieguldīta nākošajā versijā. Pieņemam, ka MifosX izstrādei ieguldīta puse no gada tēriņiem (160000 USD).</w:t>
            </w:r>
          </w:p>
        </w:tc>
      </w:tr>
      <w:tr w:rsidR="00553AF1" w14:paraId="26479601"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5C71062E"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2018</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77070C77" w14:textId="77777777" w:rsidR="00553AF1" w:rsidRDefault="00553AF1">
            <w:pPr>
              <w:spacing w:after="0" w:line="240" w:lineRule="auto"/>
              <w:rPr>
                <w:rFonts w:ascii="Times New Roman" w:eastAsia="Times New Roman" w:hAnsi="Times New Roman" w:cs="Times New Roman"/>
                <w:sz w:val="24"/>
                <w:szCs w:val="24"/>
                <w:lang w:val="lv-LV" w:eastAsia="lv-LV"/>
              </w:rPr>
            </w:pP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647637CD" w14:textId="77777777" w:rsidR="00553AF1" w:rsidRDefault="00A11AB4">
            <w:pPr>
              <w:spacing w:after="0" w:line="240" w:lineRule="auto"/>
            </w:pPr>
            <w:r>
              <w:rPr>
                <w:rFonts w:ascii="Times New Roman" w:eastAsia="Times New Roman" w:hAnsi="Times New Roman" w:cs="Times New Roman"/>
                <w:color w:val="000000"/>
                <w:sz w:val="24"/>
                <w:szCs w:val="24"/>
                <w:lang w:val="lv-LV" w:eastAsia="lv-LV"/>
              </w:rPr>
              <w:t>Pēdējā MifosX Community App versija, ko izmantojām testēšanā. Par šo gadu dati nav pieejami, jo projektu pārņēma Apache Foundation.</w:t>
            </w:r>
          </w:p>
        </w:tc>
      </w:tr>
      <w:tr w:rsidR="00553AF1" w14:paraId="7D7B73CF" w14:textId="77777777">
        <w:tc>
          <w:tcPr>
            <w:tcW w:w="894" w:type="dxa"/>
            <w:tcBorders>
              <w:top w:val="single" w:sz="8" w:space="0" w:color="000000"/>
              <w:left w:val="single" w:sz="8" w:space="0" w:color="000000"/>
              <w:bottom w:val="single" w:sz="8" w:space="0" w:color="000000"/>
              <w:right w:val="single" w:sz="8" w:space="0" w:color="000000"/>
            </w:tcBorders>
            <w:shd w:val="clear" w:color="auto" w:fill="auto"/>
          </w:tcPr>
          <w:p w14:paraId="235278B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Kopā, USD</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14:paraId="2DEE8C0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sz w:val="24"/>
                <w:szCs w:val="24"/>
                <w:lang w:val="lv-LV" w:eastAsia="lv-LV"/>
              </w:rPr>
              <w:t>1 356 000</w:t>
            </w:r>
          </w:p>
        </w:tc>
        <w:tc>
          <w:tcPr>
            <w:tcW w:w="6595" w:type="dxa"/>
            <w:tcBorders>
              <w:top w:val="single" w:sz="8" w:space="0" w:color="000000"/>
              <w:left w:val="single" w:sz="8" w:space="0" w:color="000000"/>
              <w:bottom w:val="single" w:sz="8" w:space="0" w:color="000000"/>
              <w:right w:val="single" w:sz="8" w:space="0" w:color="000000"/>
            </w:tcBorders>
            <w:shd w:val="clear" w:color="auto" w:fill="auto"/>
          </w:tcPr>
          <w:p w14:paraId="337DD5AF" w14:textId="77777777" w:rsidR="00553AF1" w:rsidRDefault="00553AF1">
            <w:pPr>
              <w:spacing w:after="0" w:line="240" w:lineRule="auto"/>
              <w:rPr>
                <w:rFonts w:ascii="Times New Roman" w:eastAsia="Times New Roman" w:hAnsi="Times New Roman" w:cs="Times New Roman"/>
                <w:sz w:val="24"/>
                <w:szCs w:val="24"/>
                <w:lang w:val="lv-LV" w:eastAsia="lv-LV"/>
              </w:rPr>
            </w:pPr>
          </w:p>
        </w:tc>
      </w:tr>
    </w:tbl>
    <w:p w14:paraId="0416D938" w14:textId="77777777" w:rsidR="00553AF1" w:rsidRDefault="00A11AB4">
      <w:pPr>
        <w:spacing w:after="14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Tabula nr. 1. Kopējās zināmās izmaksas MifosX izstrādei (minimālais variants).</w:t>
      </w:r>
    </w:p>
    <w:p w14:paraId="7B97E71F" w14:textId="77777777" w:rsidR="00553AF1" w:rsidRDefault="00A11AB4">
      <w:pPr>
        <w:spacing w:after="140" w:line="240" w:lineRule="auto"/>
        <w:jc w:val="both"/>
      </w:pPr>
      <w:r>
        <w:rPr>
          <w:rFonts w:ascii="Times New Roman" w:eastAsia="Times New Roman" w:hAnsi="Times New Roman" w:cs="Times New Roman"/>
          <w:color w:val="000000"/>
          <w:sz w:val="24"/>
          <w:szCs w:val="24"/>
          <w:lang w:val="lv-LV" w:eastAsia="lv-LV"/>
        </w:rPr>
        <w:tab/>
        <w:t xml:space="preserve">Salīdzinot izmaksas pēc abām metodēm, var aptuveni novērtēt brīvprātīgā darba ieguldījumu. Pēc aptuvenām aplēsēm, tas ir aptuveni vienāds ar darbu, kas paveikts par </w:t>
      </w:r>
      <w:r>
        <w:rPr>
          <w:rFonts w:ascii="Times New Roman" w:eastAsia="Times New Roman" w:hAnsi="Times New Roman" w:cs="Times New Roman"/>
          <w:color w:val="000000"/>
          <w:sz w:val="24"/>
          <w:szCs w:val="24"/>
          <w:lang w:val="lv-LV" w:eastAsia="lv-LV"/>
        </w:rPr>
        <w:lastRenderedPageBreak/>
        <w:t>samaksu - pēc koda analīzes iegūtās darbspēka izmaksas ir apmēram 3 miljoni ASV dolāru, izstrādē ieguldītā nauda no atskaitēm apmēram pusotrs miljons.</w:t>
      </w:r>
    </w:p>
    <w:p w14:paraId="0D8A8FCB" w14:textId="77777777" w:rsidR="00553AF1" w:rsidRDefault="00A11AB4">
      <w:pPr>
        <w:spacing w:after="140" w:line="240" w:lineRule="auto"/>
        <w:jc w:val="both"/>
      </w:pPr>
      <w:r>
        <w:rPr>
          <w:rFonts w:ascii="Times New Roman" w:eastAsia="Times New Roman" w:hAnsi="Times New Roman" w:cs="Times New Roman"/>
          <w:color w:val="000000"/>
          <w:sz w:val="24"/>
          <w:szCs w:val="24"/>
          <w:lang w:val="lv-LV" w:eastAsia="lv-LV"/>
        </w:rPr>
        <w:tab/>
        <w:t>No Fineract koda vietnes statistikas redzams, ka ar Fineract vienlaicīgi strādā apmēram 2 vadošie izstrādātāji, un kopumā projektā savu darbu ieguldījuši apmēram 100 brīvprātīgie (</w:t>
      </w:r>
      <w:hyperlink r:id="rId25">
        <w:r>
          <w:rPr>
            <w:rFonts w:ascii="Times New Roman" w:eastAsia="Times New Roman" w:hAnsi="Times New Roman" w:cs="Times New Roman"/>
            <w:color w:val="1155CC"/>
            <w:sz w:val="24"/>
            <w:szCs w:val="24"/>
            <w:u w:val="single"/>
            <w:lang w:val="lv-LV" w:eastAsia="lv-LV"/>
          </w:rPr>
          <w:t>https://github.com/apache/fineract/graphs/contributors</w:t>
        </w:r>
      </w:hyperlink>
      <w:r>
        <w:rPr>
          <w:rFonts w:ascii="Times New Roman" w:eastAsia="Times New Roman" w:hAnsi="Times New Roman" w:cs="Times New Roman"/>
          <w:color w:val="000000"/>
          <w:sz w:val="24"/>
          <w:szCs w:val="24"/>
          <w:lang w:val="lv-LV" w:eastAsia="lv-LV"/>
        </w:rPr>
        <w:t>). No tā var izdarīt secinājumus par projekta uzturēšanai nepieciešamo programmētāju skaitu - apmēram divi, kas sakrīt ar statistikas datiem par koda rindiņu skaitu, kuras var uzturēt 1 programmētājs (50 - 250 tūkstoši atkarībā no prasmēm). Fineract un MifosX Community App kopā ir 375 000 koda rindiņu.</w:t>
      </w:r>
    </w:p>
    <w:p w14:paraId="17BB1838"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2.3. Latviešu valodas atbalsts un tulkošanas izmaksas</w:t>
      </w:r>
    </w:p>
    <w:p w14:paraId="7F9CDC07"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MifosX latviski tulkots nav, tulkošana pieejama no projekta Translatewiki  lapas </w:t>
      </w:r>
      <w:hyperlink r:id="rId26">
        <w:r>
          <w:rPr>
            <w:rFonts w:ascii="Times New Roman" w:eastAsia="Times New Roman" w:hAnsi="Times New Roman" w:cs="Times New Roman"/>
            <w:color w:val="1155CC"/>
            <w:sz w:val="24"/>
            <w:szCs w:val="24"/>
            <w:u w:val="single"/>
            <w:lang w:val="lv-LV" w:eastAsia="lv-LV"/>
          </w:rPr>
          <w:t>https://translatewiki.net/w/i.php?title=Special:Translate&amp;group=out-mifos&amp;language=lv&amp;filter=%21translated&amp;action=translate</w:t>
        </w:r>
      </w:hyperlink>
      <w:r>
        <w:rPr>
          <w:rFonts w:ascii="Times New Roman" w:eastAsia="Times New Roman" w:hAnsi="Times New Roman" w:cs="Times New Roman"/>
          <w:color w:val="000000"/>
          <w:sz w:val="24"/>
          <w:szCs w:val="24"/>
          <w:lang w:val="lv-LV" w:eastAsia="lv-LV"/>
        </w:rPr>
        <w:t>. Pagaidām nav zināms, cik ilgā laikā šeit iztulkoto iebūvē MifosX. Tehniski ir iespējams apiet šo publisko tulkošanas sistēmu un tulkošanu veikt paša MifosX izejas kodā, vai pašu spēkiem veikt izmaiņas un uzstādīt.</w:t>
      </w:r>
    </w:p>
    <w:p w14:paraId="3FB207E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Kopējais tulkojamo frāžu daudzums ir apmēram 4000, vairums 2-4 vārdu garumā, kopā ap 12 000 vārdu, ap 150 000 rakstzīmju jeb 84 nosacītās lappuses (pieņemot, ka vienā lappusē vidēji ir 1800 rakstzīmes). Ja zināms, ka aptuvenā tulkošanas cena par lappusi ir 12 EUR, tad tīrās tulkošanas izmaksas uz latviešu valodu novērtējamas kā 1008 EUR. Te vēl jāpieskaita tulkojumu uzstādīšana un neizbēgamo kļūdu novēršana, kas kopējās izmaksas tulkošanai trīskāršos, līdz ar to kopējās Sistēmas tulkošanas izmaksas prognozējamas ne zemākas kā 3600 EUR.</w:t>
      </w:r>
    </w:p>
    <w:p w14:paraId="2BE52F03"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Ja nepieciešams tulkot dokumentāciju, tad iespējams, ka vislabāk to darīt nepilnīgi, tikai tajā apjomā, kas nepieciešams vismaz kādam no lietotājiem. Dokumentācija lietotājiem, tai skaitā par instalēšanu un administrēšanu,  atrodama </w:t>
      </w:r>
      <w:hyperlink r:id="rId27">
        <w:r>
          <w:rPr>
            <w:rFonts w:ascii="Times New Roman" w:eastAsia="Times New Roman" w:hAnsi="Times New Roman" w:cs="Times New Roman"/>
            <w:color w:val="1155CC"/>
            <w:sz w:val="24"/>
            <w:szCs w:val="24"/>
            <w:u w:val="single"/>
            <w:lang w:val="lv-LV" w:eastAsia="lv-LV"/>
          </w:rPr>
          <w:t>https://mifosforge.jira.com/wiki/spaces/docs/overview?homepageId=9830825</w:t>
        </w:r>
      </w:hyperlink>
      <w:r>
        <w:rPr>
          <w:rFonts w:ascii="Times New Roman" w:eastAsia="Times New Roman" w:hAnsi="Times New Roman" w:cs="Times New Roman"/>
          <w:color w:val="000000"/>
          <w:sz w:val="24"/>
          <w:szCs w:val="24"/>
          <w:lang w:val="lv-LV" w:eastAsia="lv-LV"/>
        </w:rPr>
        <w:t>.</w:t>
      </w:r>
    </w:p>
    <w:p w14:paraId="12494BA0"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Lietotāja dokumentācija latviešu valodā aizņemtu vismaz 200 lappuses, ieskaitot attēlus. Aptuvenais darba patēriņš līdz ar to rēķināms vismaz 400 cilvēkstundu.</w:t>
      </w:r>
    </w:p>
    <w:p w14:paraId="20E7022F"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br w:type="page"/>
      </w:r>
    </w:p>
    <w:p w14:paraId="594B7C5F" w14:textId="77777777" w:rsidR="00553AF1" w:rsidRDefault="00553AF1">
      <w:pPr>
        <w:spacing w:after="140" w:line="240" w:lineRule="auto"/>
        <w:ind w:firstLine="567"/>
        <w:jc w:val="both"/>
        <w:rPr>
          <w:rFonts w:ascii="Times New Roman" w:eastAsia="Times New Roman" w:hAnsi="Times New Roman" w:cs="Times New Roman"/>
          <w:sz w:val="24"/>
          <w:szCs w:val="24"/>
          <w:lang w:val="lv-LV" w:eastAsia="lv-LV"/>
        </w:rPr>
      </w:pPr>
    </w:p>
    <w:p w14:paraId="3FEF244D" w14:textId="77777777" w:rsidR="00553AF1" w:rsidRDefault="00A11AB4">
      <w:pPr>
        <w:spacing w:before="240" w:after="120" w:line="240" w:lineRule="auto"/>
        <w:textAlignment w:val="baseline"/>
        <w:outlineLvl w:val="0"/>
        <w:rPr>
          <w:rFonts w:ascii="Times New Roman" w:eastAsia="Times New Roman" w:hAnsi="Times New Roman" w:cs="Times New Roman"/>
          <w:b/>
          <w:bCs/>
          <w:color w:val="000000"/>
          <w:kern w:val="2"/>
          <w:sz w:val="48"/>
          <w:szCs w:val="48"/>
          <w:lang w:val="lv-LV" w:eastAsia="lv-LV"/>
        </w:rPr>
      </w:pPr>
      <w:r>
        <w:rPr>
          <w:rFonts w:ascii="Times New Roman" w:eastAsia="Times New Roman" w:hAnsi="Times New Roman" w:cs="Times New Roman"/>
          <w:b/>
          <w:bCs/>
          <w:color w:val="000000"/>
          <w:kern w:val="2"/>
          <w:sz w:val="36"/>
          <w:szCs w:val="36"/>
          <w:lang w:val="lv-LV" w:eastAsia="lv-LV"/>
        </w:rPr>
        <w:t>3. Tehniskās prasības</w:t>
      </w:r>
    </w:p>
    <w:p w14:paraId="54506501" w14:textId="77777777" w:rsidR="00553AF1" w:rsidRDefault="00A11AB4">
      <w:pPr>
        <w:spacing w:before="200" w:after="140" w:line="240" w:lineRule="auto"/>
        <w:jc w:val="both"/>
        <w:outlineLvl w:val="1"/>
        <w:rPr>
          <w:rFonts w:ascii="Times New Roman" w:eastAsia="Times New Roman" w:hAnsi="Times New Roman" w:cs="Times New Roman"/>
          <w:b/>
          <w:bCs/>
          <w:sz w:val="36"/>
          <w:szCs w:val="36"/>
          <w:lang w:val="lv-LV" w:eastAsia="lv-LV"/>
        </w:rPr>
      </w:pPr>
      <w:r>
        <w:rPr>
          <w:rFonts w:ascii="Times New Roman" w:eastAsia="Times New Roman" w:hAnsi="Times New Roman" w:cs="Times New Roman"/>
          <w:b/>
          <w:bCs/>
          <w:color w:val="000000"/>
          <w:sz w:val="32"/>
          <w:szCs w:val="32"/>
          <w:lang w:val="lv-LV" w:eastAsia="lv-LV"/>
        </w:rPr>
        <w:t>3.1. Instalēšana</w:t>
      </w:r>
    </w:p>
    <w:p w14:paraId="2B3FB8B2" w14:textId="77777777" w:rsidR="00553AF1" w:rsidRDefault="00A11AB4">
      <w:pPr>
        <w:spacing w:after="140" w:line="240" w:lineRule="auto"/>
        <w:ind w:firstLine="720"/>
        <w:jc w:val="both"/>
      </w:pPr>
      <w:r>
        <w:rPr>
          <w:rFonts w:ascii="Times New Roman" w:eastAsia="Times New Roman" w:hAnsi="Times New Roman" w:cs="Times New Roman"/>
          <w:color w:val="000000"/>
          <w:sz w:val="24"/>
          <w:szCs w:val="24"/>
          <w:lang w:val="lv-LV" w:eastAsia="lv-LV"/>
        </w:rPr>
        <w:t xml:space="preserve">Jau sakompilēta instalācija ir lejupielādējama no Mifos vietnes: </w:t>
      </w:r>
      <w:hyperlink r:id="rId28">
        <w:r>
          <w:rPr>
            <w:rFonts w:ascii="Times New Roman" w:eastAsia="Times New Roman" w:hAnsi="Times New Roman" w:cs="Times New Roman"/>
            <w:color w:val="000080"/>
            <w:sz w:val="24"/>
            <w:szCs w:val="24"/>
            <w:u w:val="single"/>
            <w:lang w:val="lv-LV" w:eastAsia="lv-LV"/>
          </w:rPr>
          <w:t>https://mifos.org/take-action/get-mifos/download-mifos-x/</w:t>
        </w:r>
      </w:hyperlink>
      <w:r>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br/>
      </w:r>
      <w:r>
        <w:rPr>
          <w:rFonts w:ascii="Times New Roman" w:eastAsia="Times New Roman" w:hAnsi="Times New Roman" w:cs="Times New Roman"/>
          <w:color w:val="000000"/>
          <w:sz w:val="24"/>
          <w:szCs w:val="24"/>
          <w:lang w:val="lv-LV" w:eastAsia="lv-LV"/>
        </w:rPr>
        <w:tab/>
        <w:t xml:space="preserve">Instalācijas apraksts kopā ar lietošanas pamācību un citiem materiāliem atrodams </w:t>
      </w:r>
      <w:hyperlink r:id="rId29">
        <w:r>
          <w:rPr>
            <w:rFonts w:ascii="Times New Roman" w:eastAsia="Times New Roman" w:hAnsi="Times New Roman" w:cs="Times New Roman"/>
            <w:color w:val="1155CC"/>
            <w:sz w:val="24"/>
            <w:szCs w:val="24"/>
            <w:u w:val="single"/>
            <w:lang w:val="lv-LV" w:eastAsia="lv-LV"/>
          </w:rPr>
          <w:t>https://mifosforge.jira.com/wiki/spaces/docs/overview</w:t>
        </w:r>
      </w:hyperlink>
      <w:r>
        <w:rPr>
          <w:rFonts w:ascii="Times New Roman" w:eastAsia="Times New Roman" w:hAnsi="Times New Roman" w:cs="Times New Roman"/>
          <w:color w:val="000000"/>
          <w:sz w:val="24"/>
          <w:szCs w:val="24"/>
          <w:lang w:val="lv-LV" w:eastAsia="lv-LV"/>
        </w:rPr>
        <w:t>.</w:t>
      </w:r>
    </w:p>
    <w:p w14:paraId="469D5CA1" w14:textId="77777777" w:rsidR="00553AF1" w:rsidRDefault="00A11AB4">
      <w:pPr>
        <w:spacing w:after="140" w:line="240" w:lineRule="auto"/>
        <w:jc w:val="both"/>
      </w:pPr>
      <w:r>
        <w:rPr>
          <w:rFonts w:ascii="Times New Roman" w:eastAsia="Times New Roman" w:hAnsi="Times New Roman" w:cs="Times New Roman"/>
          <w:color w:val="000000"/>
          <w:sz w:val="24"/>
          <w:szCs w:val="24"/>
          <w:lang w:val="lv-LV" w:eastAsia="lv-LV"/>
        </w:rPr>
        <w:tab/>
        <w:t>Instalēšanas gaita atbilst aprakstītajai un nekādas negaidītas grūtības netika novērotas. Instalācija nav pilnībā automātiska, jo tās gaitā jānorāda datu bāzes atrašanās vietas, pieslēgums datu bāzes serverim un cita tamlīdzīga informācija. Instalēšanai nepietiek ar vienkārša datorlietotāja prasmēm, jo ir vismaz aptuveni jāsaprot, kādas ir projekta galvenās sastāvdaļas un kā risināt iespējamās uzstādīšanas problēmas.</w:t>
      </w:r>
    </w:p>
    <w:p w14:paraId="1DF76FC5" w14:textId="77777777" w:rsidR="00553AF1" w:rsidRDefault="00A11AB4">
      <w:pPr>
        <w:spacing w:before="200" w:after="120" w:line="240" w:lineRule="auto"/>
        <w:jc w:val="both"/>
        <w:outlineLvl w:val="1"/>
        <w:rPr>
          <w:rFonts w:ascii="Times New Roman" w:eastAsia="Times New Roman" w:hAnsi="Times New Roman" w:cs="Times New Roman"/>
          <w:b/>
          <w:bCs/>
          <w:sz w:val="36"/>
          <w:szCs w:val="36"/>
          <w:lang w:val="lv-LV" w:eastAsia="lv-LV"/>
        </w:rPr>
      </w:pPr>
      <w:r>
        <w:rPr>
          <w:rFonts w:ascii="Times New Roman" w:eastAsia="Times New Roman" w:hAnsi="Times New Roman" w:cs="Times New Roman"/>
          <w:b/>
          <w:bCs/>
          <w:color w:val="000000"/>
          <w:sz w:val="32"/>
          <w:szCs w:val="32"/>
          <w:lang w:val="lv-LV" w:eastAsia="lv-LV"/>
        </w:rPr>
        <w:t>3.2. Vides prasības</w:t>
      </w:r>
    </w:p>
    <w:p w14:paraId="3887A5E5" w14:textId="77777777" w:rsidR="00553AF1" w:rsidRDefault="00A11AB4">
      <w:pPr>
        <w:spacing w:after="140" w:line="240" w:lineRule="auto"/>
        <w:jc w:val="both"/>
      </w:pPr>
      <w:r>
        <w:rPr>
          <w:rFonts w:ascii="Times New Roman" w:eastAsia="Times New Roman" w:hAnsi="Times New Roman" w:cs="Times New Roman"/>
          <w:color w:val="000000"/>
          <w:sz w:val="24"/>
          <w:szCs w:val="24"/>
          <w:lang w:val="lv-LV" w:eastAsia="lv-LV"/>
        </w:rPr>
        <w:tab/>
        <w:t>MifosX kodols ir rakstīts Java programmēšanas valodā, izmanto Apache Tomcat webserveri (</w:t>
      </w:r>
      <w:hyperlink r:id="rId30">
        <w:r>
          <w:rPr>
            <w:rFonts w:ascii="Times New Roman" w:eastAsia="Times New Roman" w:hAnsi="Times New Roman" w:cs="Times New Roman"/>
            <w:color w:val="1155CC"/>
            <w:sz w:val="24"/>
            <w:szCs w:val="24"/>
            <w:u w:val="single"/>
            <w:lang w:val="lv-LV" w:eastAsia="lv-LV"/>
          </w:rPr>
          <w:t>http://tomcat.apache.org</w:t>
        </w:r>
      </w:hyperlink>
      <w:r>
        <w:rPr>
          <w:rFonts w:ascii="Times New Roman" w:eastAsia="Times New Roman" w:hAnsi="Times New Roman" w:cs="Times New Roman"/>
          <w:color w:val="000000"/>
          <w:sz w:val="24"/>
          <w:szCs w:val="24"/>
          <w:lang w:val="lv-LV" w:eastAsia="lv-LV"/>
        </w:rPr>
        <w:t>), kas arī ir sarakstīts Java.</w:t>
      </w:r>
    </w:p>
    <w:p w14:paraId="46F4070D" w14:textId="77777777" w:rsidR="00553AF1" w:rsidRDefault="00A11AB4">
      <w:pPr>
        <w:spacing w:after="1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b/>
        <w:t xml:space="preserve">Kā datu bāzes dzinēju MifosX izmanto </w:t>
      </w:r>
      <w:r>
        <w:rPr>
          <w:rFonts w:ascii="Times New Roman" w:eastAsia="Times New Roman" w:hAnsi="Times New Roman" w:cs="Times New Roman"/>
          <w:i/>
          <w:iCs/>
          <w:color w:val="000000"/>
          <w:sz w:val="24"/>
          <w:szCs w:val="24"/>
          <w:lang w:val="lv-LV" w:eastAsia="lv-LV"/>
        </w:rPr>
        <w:t>MySQL Community Edition</w:t>
      </w:r>
      <w:r>
        <w:rPr>
          <w:rFonts w:ascii="Times New Roman" w:eastAsia="Times New Roman" w:hAnsi="Times New Roman" w:cs="Times New Roman"/>
          <w:color w:val="000000"/>
          <w:sz w:val="24"/>
          <w:szCs w:val="24"/>
          <w:lang w:val="lv-LV" w:eastAsia="lv-LV"/>
        </w:rPr>
        <w:t>, kas ir viena no pasaulē visplašāk izmantotajām bezmaksas relāciju datu bāžu sistēmām.</w:t>
      </w:r>
    </w:p>
    <w:p w14:paraId="1ABF54CB" w14:textId="77777777" w:rsidR="00553AF1" w:rsidRDefault="00A11AB4">
      <w:pPr>
        <w:spacing w:after="1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b/>
        <w:t>Kodols spēj darboties visās galvenajās mūsdienu operētajsistēmās - Microsoft Windows, dažādos Linux variantos, MacOSX un FreeBSD.</w:t>
      </w:r>
    </w:p>
    <w:p w14:paraId="3924A5C5" w14:textId="77777777" w:rsidR="00553AF1" w:rsidRDefault="00A11AB4">
      <w:pPr>
        <w:spacing w:before="200" w:after="140" w:line="240" w:lineRule="auto"/>
        <w:jc w:val="both"/>
        <w:outlineLvl w:val="1"/>
        <w:rPr>
          <w:rFonts w:ascii="Times New Roman" w:eastAsia="Times New Roman" w:hAnsi="Times New Roman" w:cs="Times New Roman"/>
          <w:b/>
          <w:bCs/>
          <w:sz w:val="36"/>
          <w:szCs w:val="36"/>
          <w:lang w:val="lv-LV" w:eastAsia="lv-LV"/>
        </w:rPr>
      </w:pPr>
      <w:r>
        <w:rPr>
          <w:rFonts w:ascii="Times New Roman" w:eastAsia="Times New Roman" w:hAnsi="Times New Roman" w:cs="Times New Roman"/>
          <w:b/>
          <w:bCs/>
          <w:color w:val="000000"/>
          <w:sz w:val="32"/>
          <w:szCs w:val="32"/>
          <w:lang w:val="lv-LV" w:eastAsia="lv-LV"/>
        </w:rPr>
        <w:t>3.3. Aparatūras resursi</w:t>
      </w:r>
    </w:p>
    <w:p w14:paraId="4DF84EFB" w14:textId="77777777" w:rsidR="00553AF1" w:rsidRDefault="00A11AB4">
      <w:pPr>
        <w:spacing w:after="140" w:line="240" w:lineRule="auto"/>
        <w:jc w:val="both"/>
      </w:pPr>
      <w:r>
        <w:rPr>
          <w:rFonts w:ascii="Times New Roman" w:eastAsia="Times New Roman" w:hAnsi="Times New Roman" w:cs="Times New Roman"/>
          <w:color w:val="000000"/>
          <w:sz w:val="24"/>
          <w:szCs w:val="24"/>
          <w:lang w:val="lv-LV" w:eastAsia="lv-LV"/>
        </w:rPr>
        <w:tab/>
        <w:t>Specifikācijas sagatavošanas gaitā MifosX tika uzinstalēts uz vidējas jaudas virtuālā servera ar Windows Server 2016 Datacenter 64 bitu operētājsistēmu, Intel Xeon E5-2630 v4 procesoru, 8 GB RAM un 200 GB diska vietas. Diviem cilvēkiem vienlaikus strādājot ar MifosX, tīmekļa serveris aizņem apmēram 1 GB un MySQL serveris 0,5 GB RAM.</w:t>
      </w:r>
    </w:p>
    <w:p w14:paraId="49FAD9E9" w14:textId="77777777" w:rsidR="00553AF1" w:rsidRDefault="00A11AB4">
      <w:pPr>
        <w:spacing w:after="1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b/>
        <w:t>Windows operētājsistēma tikai izvēlēta tādēļ, ka visi specifikācijas izstrādē iesaistītie ir ar to labāk pazīstami. Nav principiālu šķēršļu MifosX darbināšanai uz Linux severa, ietaupot operētājsistēmas licenču izmaksas. Visas MifosX sastāvdaļas darboja arī uz Linux sistēmām (Tomcat tīmekļa serveris, MySQL datu bāzes dzinējs un Fineract kodols).</w:t>
      </w:r>
    </w:p>
    <w:p w14:paraId="37869A9C" w14:textId="77777777" w:rsidR="00553AF1" w:rsidRDefault="00A11AB4">
      <w:pPr>
        <w:spacing w:after="1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b/>
        <w:t>Apache Tomcat tīmekļa serveris un kodols (Fineract) aizņem kopā ap 2 GB diska vietas, vēl apmēram viens GB tiek patērēts MySQL instalācijai un īslaicīgajiem datiem. Pārējo datu glabāšanai vajadzīgā vieta atkarīga no tā, kāda veida datus organizācija glabā - piemēram, ja tiek saglabāti arī skenētie dokumenti, datu bāzes apjoms pieaugs diezgan strauji, tomēr dokumentu apjomam nevajadzētu daudz ietekmēt datu bāzes ātrdarbību.</w:t>
      </w:r>
    </w:p>
    <w:p w14:paraId="41E619C7" w14:textId="77777777" w:rsidR="00553AF1" w:rsidRDefault="00A11AB4">
      <w:pPr>
        <w:spacing w:after="140" w:line="240" w:lineRule="auto"/>
        <w:ind w:firstLine="720"/>
        <w:jc w:val="both"/>
      </w:pPr>
      <w:r>
        <w:rPr>
          <w:rFonts w:ascii="Times New Roman" w:eastAsia="Times New Roman" w:hAnsi="Times New Roman" w:cs="Times New Roman"/>
          <w:color w:val="000000"/>
          <w:sz w:val="24"/>
          <w:szCs w:val="24"/>
          <w:lang w:val="lv-LV" w:eastAsia="lv-LV"/>
        </w:rPr>
        <w:t>Kodols 2016. gadā uz standarta galda datora spēja apstrādāt 7-10 transakcijas sekundē, kas ir pilnīgi pietiekami organizācijai ar 10-20 darba vietām (salīdzinājumam: VISA starptautiskā norēķinu sistēma 2016. gadā apstrādāja vidēji 2000 transakcijas sekundē).</w:t>
      </w:r>
    </w:p>
    <w:p w14:paraId="3377CF98" w14:textId="77777777" w:rsidR="00553AF1" w:rsidRDefault="00A11AB4">
      <w:pPr>
        <w:spacing w:after="140" w:line="240" w:lineRule="auto"/>
        <w:ind w:firstLine="72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Ja izstrādā jaunu sistēmu, tai būtu jāspēj darboties ar līdzīgiem aparatūras resursiem līdzīgā ātrumā.</w:t>
      </w:r>
    </w:p>
    <w:p w14:paraId="1663CE11" w14:textId="77777777" w:rsidR="00553AF1" w:rsidRDefault="00A11AB4">
      <w:pPr>
        <w:spacing w:after="140" w:line="240" w:lineRule="auto"/>
        <w:ind w:firstLine="720"/>
        <w:jc w:val="both"/>
        <w:rPr>
          <w:rFonts w:ascii="Times New Roman" w:eastAsia="Times New Roman" w:hAnsi="Times New Roman" w:cs="Times New Roman"/>
          <w:color w:val="000000"/>
          <w:sz w:val="24"/>
          <w:szCs w:val="24"/>
          <w:lang w:val="lv-LV" w:eastAsia="lv-LV"/>
        </w:rPr>
      </w:pPr>
      <w:r>
        <w:br w:type="page"/>
      </w:r>
    </w:p>
    <w:p w14:paraId="0DE51F78" w14:textId="77777777" w:rsidR="00553AF1" w:rsidRDefault="00A11AB4">
      <w:pPr>
        <w:spacing w:before="240" w:after="120" w:line="240" w:lineRule="auto"/>
        <w:jc w:val="both"/>
        <w:textAlignment w:val="baseline"/>
        <w:outlineLvl w:val="0"/>
      </w:pPr>
      <w:r>
        <w:rPr>
          <w:rFonts w:ascii="Times New Roman" w:eastAsia="Times New Roman" w:hAnsi="Times New Roman" w:cs="Times New Roman"/>
          <w:b/>
          <w:bCs/>
          <w:color w:val="000000"/>
          <w:kern w:val="2"/>
          <w:sz w:val="36"/>
          <w:szCs w:val="36"/>
          <w:lang w:val="lv-LV" w:eastAsia="lv-LV"/>
        </w:rPr>
        <w:lastRenderedPageBreak/>
        <w:t>4. Licencēšanas nosacījumi</w:t>
      </w:r>
    </w:p>
    <w:p w14:paraId="29F50866"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Fineract tiek izplatīts saskaņā ar Apache 2.0 licenses nosacījumiem and MifosX - saskaņā ar Mozilla Public License 2.0 (</w:t>
      </w:r>
      <w:hyperlink r:id="rId31">
        <w:r>
          <w:rPr>
            <w:rFonts w:ascii="Times New Roman" w:eastAsia="Times New Roman" w:hAnsi="Times New Roman" w:cs="Times New Roman"/>
            <w:color w:val="000080"/>
            <w:sz w:val="24"/>
            <w:szCs w:val="24"/>
            <w:u w:val="single"/>
            <w:lang w:val="lv-LV" w:eastAsia="lv-LV"/>
          </w:rPr>
          <w:t>https://www.mozilla.org/en-US/MPL/2.0/</w:t>
        </w:r>
      </w:hyperlink>
      <w:r>
        <w:rPr>
          <w:rFonts w:ascii="Times New Roman" w:eastAsia="Times New Roman" w:hAnsi="Times New Roman" w:cs="Times New Roman"/>
          <w:color w:val="000000"/>
          <w:sz w:val="24"/>
          <w:szCs w:val="24"/>
          <w:lang w:val="lv-LV" w:eastAsia="lv-LV"/>
        </w:rPr>
        <w:t xml:space="preserve">) (Avots: </w:t>
      </w:r>
      <w:hyperlink r:id="rId32">
        <w:r>
          <w:rPr>
            <w:rFonts w:ascii="Times New Roman" w:eastAsia="Times New Roman" w:hAnsi="Times New Roman" w:cs="Times New Roman"/>
            <w:color w:val="000080"/>
            <w:sz w:val="24"/>
            <w:szCs w:val="24"/>
            <w:u w:val="single"/>
            <w:lang w:val="lv-LV" w:eastAsia="lv-LV"/>
          </w:rPr>
          <w:t>https://mifos.org/mifos-x/</w:t>
        </w:r>
      </w:hyperlink>
      <w:r>
        <w:rPr>
          <w:rFonts w:ascii="Times New Roman" w:eastAsia="Times New Roman" w:hAnsi="Times New Roman" w:cs="Times New Roman"/>
          <w:color w:val="000000"/>
          <w:sz w:val="24"/>
          <w:szCs w:val="24"/>
          <w:lang w:val="lv-LV" w:eastAsia="lv-LV"/>
        </w:rPr>
        <w:t>). Apache Tomcat tīmekļa serveri arī var izmantot saskaņā ar Apache 2.0 licensi.</w:t>
      </w:r>
    </w:p>
    <w:p w14:paraId="385007AC"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Mozilla Public License 2.0 Licencēšanas nosacījumus īsumā var skatīt </w:t>
      </w:r>
      <w:hyperlink r:id="rId33">
        <w:r>
          <w:rPr>
            <w:rFonts w:ascii="Times New Roman" w:eastAsia="Times New Roman" w:hAnsi="Times New Roman" w:cs="Times New Roman"/>
            <w:color w:val="000080"/>
            <w:sz w:val="24"/>
            <w:szCs w:val="24"/>
            <w:u w:val="single"/>
            <w:lang w:val="lv-LV" w:eastAsia="lv-LV"/>
          </w:rPr>
          <w:t>https://tldrlegal.com/license/mozilla-public-license-2.0-(mpl-2</w:t>
        </w:r>
      </w:hyperlink>
      <w:r>
        <w:rPr>
          <w:rFonts w:ascii="Times New Roman" w:eastAsia="Times New Roman" w:hAnsi="Times New Roman" w:cs="Times New Roman"/>
          <w:color w:val="000000"/>
          <w:sz w:val="24"/>
          <w:szCs w:val="24"/>
          <w:lang w:val="lv-LV" w:eastAsia="lv-LV"/>
        </w:rPr>
        <w:t>). Tā atļauj produkta izmantošanu komerciāliem mērķiem bez maksas, kā arī izmantošanu savu atvasinātu produktu veidošanai. Apache 2.0 licence dod vēl vairāk brīvības (</w:t>
      </w:r>
      <w:hyperlink r:id="rId34">
        <w:r>
          <w:rPr>
            <w:rFonts w:ascii="Times New Roman" w:eastAsia="Times New Roman" w:hAnsi="Times New Roman" w:cs="Times New Roman"/>
            <w:color w:val="000080"/>
            <w:sz w:val="24"/>
            <w:szCs w:val="24"/>
            <w:u w:val="single"/>
            <w:lang w:val="lv-LV" w:eastAsia="lv-LV"/>
          </w:rPr>
          <w:t>https://tldrlegal.com/license/apache-license-2.0-(apache-2.0</w:t>
        </w:r>
      </w:hyperlink>
      <w:r>
        <w:rPr>
          <w:rFonts w:ascii="Times New Roman" w:eastAsia="Times New Roman" w:hAnsi="Times New Roman" w:cs="Times New Roman"/>
          <w:color w:val="000000"/>
          <w:sz w:val="24"/>
          <w:szCs w:val="24"/>
          <w:lang w:val="lv-LV" w:eastAsia="lv-LV"/>
        </w:rPr>
        <w:t>)).</w:t>
      </w:r>
    </w:p>
    <w:p w14:paraId="71432A6C"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Nav nekādu papildu izdevumu licencēm, ja organizācija nolemj izmantot MifosX savām vajadzībām.</w:t>
      </w:r>
    </w:p>
    <w:p w14:paraId="38BF6260"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br w:type="page"/>
      </w:r>
    </w:p>
    <w:p w14:paraId="212DE182" w14:textId="77777777" w:rsidR="00553AF1" w:rsidRDefault="00553AF1">
      <w:pPr>
        <w:spacing w:after="140" w:line="240" w:lineRule="auto"/>
        <w:ind w:firstLine="567"/>
        <w:jc w:val="both"/>
        <w:rPr>
          <w:rFonts w:ascii="Times New Roman" w:eastAsia="Times New Roman" w:hAnsi="Times New Roman" w:cs="Times New Roman"/>
          <w:sz w:val="24"/>
          <w:szCs w:val="24"/>
          <w:lang w:val="lv-LV" w:eastAsia="lv-LV"/>
        </w:rPr>
      </w:pPr>
    </w:p>
    <w:p w14:paraId="7830E987" w14:textId="77777777" w:rsidR="00553AF1" w:rsidRDefault="00A11AB4">
      <w:pPr>
        <w:spacing w:before="240" w:after="120" w:line="240" w:lineRule="auto"/>
        <w:jc w:val="both"/>
        <w:textAlignment w:val="baseline"/>
        <w:outlineLvl w:val="0"/>
        <w:rPr>
          <w:rFonts w:ascii="Times New Roman" w:eastAsia="Times New Roman" w:hAnsi="Times New Roman" w:cs="Times New Roman"/>
          <w:b/>
          <w:bCs/>
          <w:color w:val="000000"/>
          <w:kern w:val="2"/>
          <w:sz w:val="36"/>
          <w:szCs w:val="36"/>
          <w:lang w:val="lv-LV" w:eastAsia="lv-LV"/>
        </w:rPr>
      </w:pPr>
      <w:r>
        <w:rPr>
          <w:rFonts w:ascii="Times New Roman" w:eastAsia="Times New Roman" w:hAnsi="Times New Roman" w:cs="Times New Roman"/>
          <w:b/>
          <w:bCs/>
          <w:color w:val="000000"/>
          <w:kern w:val="2"/>
          <w:sz w:val="36"/>
          <w:szCs w:val="36"/>
          <w:lang w:val="lv-LV" w:eastAsia="lv-LV"/>
        </w:rPr>
        <w:t>5. Funkcionālo prasību saraksts un atbilstības novērtējums</w:t>
      </w:r>
    </w:p>
    <w:p w14:paraId="077BCDD1"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5.1. Pamatinformācija par organizāciju</w:t>
      </w:r>
    </w:p>
    <w:p w14:paraId="33938273"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ļauj brīvi atspoguļot finanšu organizācijas, t.sk. krājaizdevu sabiedrības struktūru – filiāļu/ klientu apkalpošanas punktu tīklu (ja tāds ir). Nav iespēja norādīt uzņēmuma juridisko adresi, filiāļu/klientu apkalpošanas punktu adreses, kontaktus. Darbojoties Latvijā, to vajadzētu pievienot.</w:t>
      </w:r>
    </w:p>
    <w:p w14:paraId="3D00401B"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Reģistrējot lietotājus, var izveidot lomas (piemēram, administrators, kredītspeciālists u.t.t)  un piešķirt attiecīgas tiesības veikt darbības un/vai operācijas. Tiesību izvēļu saraksts sistēmā ir ļoti plašs. Atsevišķi reģistrējami kasieri. Lietotāji un kasieri piesaistīti konkrētai struktūrvienībai, taču neparedz iespēju piesaistīt vairākām vienībām vienlaicīgi. Piemēram, revīzijas komisijas loceklim būtu nepieciešama piekļuve visu struktūrvienību grāmatvedības datiem.</w:t>
      </w:r>
    </w:p>
    <w:p w14:paraId="4DA82CD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Paredzēts atsevišķi uzrādīt darbiniekus, taču nav lauku personas koda un ar personālu saistītu datu ievadei, piemēram, pensionārs, atvaļinājumu periodi, atvieglojumi u.t.t. Algu aprēķins jāveic atsevišķā programmā.</w:t>
      </w:r>
    </w:p>
    <w:p w14:paraId="47CD1690"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Kalendārā darba dienas atzīmē visam uzņēmumam, svētku dienas ļauj ievadīt katrai strūktūrvienībai atsevišķi.</w:t>
      </w:r>
    </w:p>
    <w:p w14:paraId="21E75FB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ļauj pašiem izveidot vispārīgus maksājumu tipus. Tāpat arī ir iespēja veidot kodus gan sistēmas definētām, gan no jauna pievienotām pozīcijām, kas nepieciešami datu bāzes veidošanai un operāciju veikšanai, piemērojot konkrētā uzņēmuma vajadzībām. Maksājumu tipi nav sasaistīti ar virsgrāmatas kontiem.</w:t>
      </w:r>
    </w:p>
    <w:p w14:paraId="444FBB4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apmēram 680 cilvēkstundu. Ja jāpielāgo esošā sistēma - apmēram 80 cilvēkstundas.</w:t>
      </w:r>
    </w:p>
    <w:p w14:paraId="41D198A5"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5.2. Virsgrāmata/ kontu plāns</w:t>
      </w:r>
    </w:p>
    <w:p w14:paraId="20D9CEB4"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Sistēma pieļauj, ka kontu plānu katrs uzņēmums var brīvi izveidot savām vajadzībām, sakārtojot tos vairākos līmeņos, kā arī atļaut vai neatļaut tajos veikt grāmatojumus manuāli un atzīmēt analītiskos kontus. Ja konts ir izmantots grāmatošanā un tam ir beigu saldo, dzēst kontu nav iespējams.</w:t>
      </w:r>
    </w:p>
    <w:p w14:paraId="5EDBA448"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dod iespēju izveidot biežāk lietoto/standarta grāmatojumu kārtulas, lai atvieglotu grāmatveža darbu un samazinātu kļūdu skaitu. Lai izveidotu grāmatojumu kārtulas gadījumos, kad grāmatojumā paredzēti vairāki pretkonti, tad jādefinē kontu atzīmes (tags), kurus pievieno attiecīgajiem kontiem kontu plānā.</w:t>
      </w:r>
    </w:p>
    <w:p w14:paraId="2B3A56A4"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Papildu grāmatojumu kārtulas ir iespēja izveidot, konfigurējot produktus. Var paredzēt konkrēta produkta sasaisti gan ar attiecīgiem bilances, gan operāciju kontiem - par pamatsummām, procentu ienākumiem vai izdevumiem, komisijas naudām un līgumsodiem. Produktu konfigurācijā noteiktie automātiskie grāmatojumi grāmatvedības žurnālā nereģistrējas. Tos iespējams aplūkot caur virsgrāmatas kontu atskaitēm.</w:t>
      </w:r>
    </w:p>
    <w:p w14:paraId="781AAE69"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lastRenderedPageBreak/>
        <w:t xml:space="preserve">Sistēma grāmatvedības žurnālu slēgšanu pieļauj jebkuros periodos un laikā. Žurnālu slēgšanu iespējams arī dzēst. Līdz ar to programmā iespējams veikt jaunus grāmatojumus un jau veiktu grāmatojumu atgrāmatošanu, tā saukto </w:t>
      </w:r>
      <w:r>
        <w:rPr>
          <w:rFonts w:ascii="Times New Roman" w:eastAsia="Times New Roman" w:hAnsi="Times New Roman" w:cs="Times New Roman"/>
          <w:i/>
          <w:iCs/>
          <w:color w:val="000000"/>
          <w:sz w:val="24"/>
          <w:szCs w:val="24"/>
          <w:lang w:val="lv-LV" w:eastAsia="lv-LV"/>
        </w:rPr>
        <w:t>storno</w:t>
      </w:r>
      <w:r>
        <w:rPr>
          <w:rFonts w:ascii="Times New Roman" w:eastAsia="Times New Roman" w:hAnsi="Times New Roman" w:cs="Times New Roman"/>
          <w:color w:val="000000"/>
          <w:sz w:val="24"/>
          <w:szCs w:val="24"/>
          <w:lang w:val="lv-LV" w:eastAsia="lv-LV"/>
        </w:rPr>
        <w:t xml:space="preserve"> ierakstu ar atpakaļejošu datumu.</w:t>
      </w:r>
    </w:p>
    <w:p w14:paraId="32A1F45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nodrošina grāmatvedības žurnālu sarakstu un to ierakstu vēsturi.</w:t>
      </w:r>
    </w:p>
    <w:p w14:paraId="0A28AEA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nodrošina kredīta atspoguļošanu gan sabiedrības/uzņēmuma bilancē, gan klienta pozīcijā.</w:t>
      </w:r>
    </w:p>
    <w:p w14:paraId="55C1748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nodrošina kredītprocentu uzskaiti, uzkrāto procentu uzskaiti. </w:t>
      </w:r>
    </w:p>
    <w:p w14:paraId="79A0C89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3000 cilvēkstundas. Faktiski tā ir neliela grāmatvedības uzskaites programma. Izmaksas esošās sistēmas pielāgošanai - apmēram 160 cilvēkstundas.</w:t>
      </w:r>
    </w:p>
    <w:p w14:paraId="283C4FBA"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5.3. Klienti/Biedri</w:t>
      </w:r>
    </w:p>
    <w:p w14:paraId="2CCB6A9D"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ļauj reģistrēt Klientus – aizņēmējus/ kredītņēmējus/ noguldītājus/ ieguldītājus/ dalībniekus/ KKS biedrus.</w:t>
      </w:r>
    </w:p>
    <w:p w14:paraId="12C5CCEC"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Kā jau iepriekš norādīts, reģistrējot jaunu klientu, nav adreses un e-pasta adreses ievades lauku. E-pasta adreses lauks atrodams pie klienta informācijas datu bāzē. Iespējams, šis lauks vienkārši nav pielikts lietotāja interfeisā.</w:t>
      </w:r>
    </w:p>
    <w:p w14:paraId="495342F0" w14:textId="77777777" w:rsidR="00553AF1" w:rsidRDefault="00A11AB4">
      <w:pPr>
        <w:spacing w:before="140" w:after="120" w:line="240" w:lineRule="auto"/>
        <w:jc w:val="both"/>
        <w:outlineLvl w:val="2"/>
        <w:rPr>
          <w:rFonts w:ascii="Times New Roman" w:eastAsia="Times New Roman" w:hAnsi="Times New Roman" w:cs="Times New Roman"/>
          <w:b/>
          <w:bCs/>
          <w:sz w:val="28"/>
          <w:szCs w:val="28"/>
          <w:lang w:val="lv-LV" w:eastAsia="lv-LV"/>
        </w:rPr>
      </w:pPr>
      <w:r>
        <w:rPr>
          <w:rFonts w:ascii="Times New Roman" w:eastAsia="Times New Roman" w:hAnsi="Times New Roman" w:cs="Times New Roman"/>
          <w:b/>
          <w:bCs/>
          <w:color w:val="000000"/>
          <w:sz w:val="28"/>
          <w:szCs w:val="28"/>
          <w:lang w:val="lv-LV" w:eastAsia="lv-LV"/>
        </w:rPr>
        <w:t>5.3.1. Informācija par biedriem</w:t>
      </w:r>
    </w:p>
    <w:p w14:paraId="1A3BDCC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atblasta Biedru/Klientu reģistru veidošanu - no kura datuma, saistība ar citiem biedriem/klientiem.</w:t>
      </w:r>
    </w:p>
    <w:p w14:paraId="0591DE9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Adrešu ievadei jāaktivizē adrešu modulis, jāizveido attiecīgi nepieciešamie kodi, lai varētu ievadīt adreses. Klienta tabulā datu bāzē ir lauks e-pasta adresei, taču lietotāja interfeisā tā nav. Tā ir viena no lietām, kas jāpievieno, lai vēlāk varētu veidot e-pasta izsūtīšanas akcijas.</w:t>
      </w:r>
    </w:p>
    <w:p w14:paraId="48142875" w14:textId="75CC511E"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Vadot ģimenes locekļus, nav paredzēts izvēlēties/sasaistīt tos no/ar esošiem biedriem. Nav jēgas savadīt visus ģimenes locekļus. Tas nepieciešams, lai varētu atlasīt riska grupas esošiem darījumiem.</w:t>
      </w:r>
    </w:p>
    <w:p w14:paraId="33565865" w14:textId="77777777" w:rsidR="00EE25F0" w:rsidRPr="0009155B" w:rsidRDefault="00EE25F0">
      <w:pPr>
        <w:spacing w:after="140" w:line="240" w:lineRule="auto"/>
        <w:ind w:firstLine="567"/>
        <w:jc w:val="both"/>
        <w:rPr>
          <w:rFonts w:ascii="Times New Roman" w:hAnsi="Times New Roman" w:cs="Times New Roman"/>
          <w:color w:val="000000" w:themeColor="text1"/>
          <w:sz w:val="24"/>
          <w:szCs w:val="24"/>
          <w:shd w:val="clear" w:color="auto" w:fill="FFFFFF"/>
        </w:rPr>
      </w:pPr>
      <w:r w:rsidRPr="0009155B">
        <w:rPr>
          <w:rFonts w:ascii="Times New Roman" w:hAnsi="Times New Roman" w:cs="Times New Roman"/>
          <w:color w:val="000000" w:themeColor="text1"/>
          <w:sz w:val="24"/>
          <w:szCs w:val="24"/>
          <w:shd w:val="clear" w:color="auto" w:fill="FFFFFF"/>
        </w:rPr>
        <w:t>Vērtējot sistēmu no Krājaaizdevu sabiedrību skatu puncta, der atzīmēt, ka Krājaizdevu sabiedrību likums šā brīža redakcijā nosaka, ka Krājaizdevu sabiedrības sniedz pakalpojumus tikai saviem biedriem.  Tāpēc attiecībā uz Krājaizdevu sabiedrībām būt nepieciešams iedalījums: biedrs; izslēgts biedrs, kuram vai pret kuru ir spēkā esošas saistības (kredīts, noguldījums, pajas u.tml.), izslēgts biedrs (</w:t>
      </w:r>
      <w:r w:rsidRPr="0009155B">
        <w:rPr>
          <w:rStyle w:val="Emphasis"/>
          <w:rFonts w:ascii="Times New Roman" w:hAnsi="Times New Roman" w:cs="Times New Roman"/>
          <w:color w:val="000000" w:themeColor="text1"/>
          <w:sz w:val="24"/>
          <w:szCs w:val="24"/>
          <w:shd w:val="clear" w:color="auto" w:fill="FFFFFF"/>
        </w:rPr>
        <w:t>Closed</w:t>
      </w:r>
      <w:r w:rsidRPr="0009155B">
        <w:rPr>
          <w:rFonts w:ascii="Times New Roman" w:hAnsi="Times New Roman" w:cs="Times New Roman"/>
          <w:color w:val="000000" w:themeColor="text1"/>
          <w:sz w:val="24"/>
          <w:szCs w:val="24"/>
          <w:shd w:val="clear" w:color="auto" w:fill="FFFFFF"/>
        </w:rPr>
        <w:t>), galvotājs, kurš nav biedrs.</w:t>
      </w:r>
    </w:p>
    <w:p w14:paraId="3A50DB9E" w14:textId="2D567F4F" w:rsidR="00EE25F0" w:rsidRPr="00566A66" w:rsidRDefault="00EE25F0">
      <w:pPr>
        <w:spacing w:after="140" w:line="240" w:lineRule="auto"/>
        <w:ind w:firstLine="567"/>
        <w:jc w:val="both"/>
        <w:rPr>
          <w:rFonts w:ascii="Times New Roman" w:hAnsi="Times New Roman" w:cs="Times New Roman"/>
          <w:color w:val="000000" w:themeColor="text1"/>
          <w:sz w:val="24"/>
          <w:szCs w:val="24"/>
          <w:shd w:val="clear" w:color="auto" w:fill="FFFFFF"/>
        </w:rPr>
      </w:pPr>
      <w:r w:rsidRPr="0009155B">
        <w:rPr>
          <w:rFonts w:ascii="Times New Roman" w:hAnsi="Times New Roman" w:cs="Times New Roman"/>
          <w:color w:val="000000" w:themeColor="text1"/>
          <w:sz w:val="24"/>
          <w:szCs w:val="24"/>
          <w:shd w:val="clear" w:color="auto" w:fill="FFFFFF"/>
        </w:rPr>
        <w:t xml:space="preserve">Izvērtējot </w:t>
      </w:r>
      <w:r w:rsidRPr="00566A66">
        <w:rPr>
          <w:rFonts w:ascii="Times New Roman" w:hAnsi="Times New Roman" w:cs="Times New Roman"/>
          <w:color w:val="000000" w:themeColor="text1"/>
          <w:sz w:val="24"/>
          <w:szCs w:val="24"/>
          <w:shd w:val="clear" w:color="auto" w:fill="FFFFFF"/>
        </w:rPr>
        <w:t>sistēmā pieejamās tehniskās iespējas, konstatēts, ka sistēma paredz iespēju konfiguratorā definēt klienta tipu un klienta klasifikāciju. Jāpiebilst, ka šie sistēmas piedāvātie moduļi attiecināmi gan uz fiziskām, gan juridiskām personām.</w:t>
      </w:r>
      <w:r w:rsidRPr="00566A66">
        <w:rPr>
          <w:rFonts w:ascii="Times New Roman" w:hAnsi="Times New Roman" w:cs="Times New Roman"/>
          <w:color w:val="000000" w:themeColor="text1"/>
          <w:sz w:val="24"/>
          <w:szCs w:val="24"/>
          <w:shd w:val="clear" w:color="auto" w:fill="FFFFFF"/>
        </w:rPr>
        <w:br/>
        <w:t>Nepieciešamības gadījumā konfiguratorā var pieprogrammēt papildu moduli klientu klasifikācijai. </w:t>
      </w:r>
    </w:p>
    <w:p w14:paraId="6A5EC4ED" w14:textId="2D3374FD" w:rsidR="00A11AB4" w:rsidRPr="00566A66" w:rsidRDefault="00174980" w:rsidP="00566A66">
      <w:pPr>
        <w:spacing w:after="140" w:line="240" w:lineRule="auto"/>
        <w:ind w:firstLine="567"/>
        <w:jc w:val="both"/>
        <w:rPr>
          <w:rFonts w:ascii="Times New Roman" w:hAnsi="Times New Roman" w:cs="Times New Roman"/>
          <w:color w:val="000000" w:themeColor="text1"/>
          <w:sz w:val="24"/>
          <w:szCs w:val="24"/>
          <w:shd w:val="clear" w:color="auto" w:fill="FFFFFF"/>
        </w:rPr>
      </w:pPr>
      <w:r w:rsidRPr="00566A66">
        <w:rPr>
          <w:rFonts w:ascii="Times New Roman" w:hAnsi="Times New Roman" w:cs="Times New Roman"/>
          <w:color w:val="000000" w:themeColor="text1"/>
          <w:sz w:val="24"/>
          <w:szCs w:val="24"/>
          <w:shd w:val="clear" w:color="auto" w:fill="FFFFFF"/>
        </w:rPr>
        <w:t>Sistēma</w:t>
      </w:r>
      <w:r w:rsidR="00A11AB4" w:rsidRPr="00566A66">
        <w:rPr>
          <w:rFonts w:ascii="Times New Roman" w:hAnsi="Times New Roman" w:cs="Times New Roman"/>
          <w:color w:val="000000" w:themeColor="text1"/>
          <w:sz w:val="24"/>
          <w:szCs w:val="24"/>
          <w:shd w:val="clear" w:color="auto" w:fill="FFFFFF"/>
        </w:rPr>
        <w:t xml:space="preserve"> slēgt (funkcija </w:t>
      </w:r>
      <w:r w:rsidR="00A11AB4" w:rsidRPr="00566A66">
        <w:rPr>
          <w:rStyle w:val="Emphasis"/>
          <w:rFonts w:ascii="Times New Roman" w:hAnsi="Times New Roman" w:cs="Times New Roman"/>
          <w:color w:val="000000" w:themeColor="text1"/>
          <w:sz w:val="24"/>
          <w:szCs w:val="24"/>
          <w:shd w:val="clear" w:color="auto" w:fill="FFFFFF"/>
        </w:rPr>
        <w:t>Close</w:t>
      </w:r>
      <w:r w:rsidR="00A11AB4" w:rsidRPr="00566A66">
        <w:rPr>
          <w:rFonts w:ascii="Times New Roman" w:hAnsi="Times New Roman" w:cs="Times New Roman"/>
          <w:color w:val="000000" w:themeColor="text1"/>
          <w:sz w:val="24"/>
          <w:szCs w:val="24"/>
          <w:shd w:val="clear" w:color="auto" w:fill="FFFFFF"/>
        </w:rPr>
        <w:t>) klientu/biedru pieļauj tikai tad, ja viņam nav aktīvu kontu, t.i., ja viņam vai pret viņu nav spēkā esošu saistību.</w:t>
      </w:r>
      <w:r w:rsidR="00A11AB4" w:rsidRPr="00566A66">
        <w:rPr>
          <w:rFonts w:ascii="Times New Roman" w:hAnsi="Times New Roman" w:cs="Times New Roman"/>
          <w:color w:val="000000" w:themeColor="text1"/>
          <w:sz w:val="24"/>
          <w:szCs w:val="24"/>
        </w:rPr>
        <w:br/>
      </w:r>
      <w:r w:rsidR="00A11AB4" w:rsidRPr="00566A66">
        <w:rPr>
          <w:rFonts w:ascii="Times New Roman" w:hAnsi="Times New Roman" w:cs="Times New Roman"/>
          <w:color w:val="000000" w:themeColor="text1"/>
          <w:sz w:val="24"/>
          <w:szCs w:val="24"/>
          <w:shd w:val="clear" w:color="auto" w:fill="FFFFFF"/>
        </w:rPr>
        <w:t>Ja nepieciešams, šo jautājumu var risināt caur atsevišķu klientu klasifikāciju, piemēram ar iedalījum</w:t>
      </w:r>
      <w:r w:rsidRPr="00566A66">
        <w:rPr>
          <w:rFonts w:ascii="Times New Roman" w:hAnsi="Times New Roman" w:cs="Times New Roman"/>
          <w:color w:val="000000" w:themeColor="text1"/>
          <w:sz w:val="24"/>
          <w:szCs w:val="24"/>
          <w:shd w:val="clear" w:color="auto" w:fill="FFFFFF"/>
        </w:rPr>
        <w:t xml:space="preserve">u: </w:t>
      </w:r>
      <w:r w:rsidR="00A11AB4" w:rsidRPr="00566A66">
        <w:rPr>
          <w:rFonts w:ascii="Times New Roman" w:hAnsi="Times New Roman" w:cs="Times New Roman"/>
          <w:color w:val="000000" w:themeColor="text1"/>
          <w:sz w:val="24"/>
          <w:szCs w:val="24"/>
          <w:shd w:val="clear" w:color="auto" w:fill="FFFFFF"/>
        </w:rPr>
        <w:t>klients</w:t>
      </w:r>
      <w:r w:rsidRPr="00566A66">
        <w:rPr>
          <w:rFonts w:ascii="Times New Roman" w:hAnsi="Times New Roman" w:cs="Times New Roman"/>
          <w:color w:val="000000" w:themeColor="text1"/>
          <w:sz w:val="24"/>
          <w:szCs w:val="24"/>
          <w:shd w:val="clear" w:color="auto" w:fill="FFFFFF"/>
        </w:rPr>
        <w:t xml:space="preserve">, </w:t>
      </w:r>
      <w:r w:rsidR="00A11AB4" w:rsidRPr="00566A66">
        <w:rPr>
          <w:rFonts w:ascii="Times New Roman" w:hAnsi="Times New Roman" w:cs="Times New Roman"/>
          <w:color w:val="000000" w:themeColor="text1"/>
          <w:sz w:val="24"/>
          <w:szCs w:val="24"/>
          <w:shd w:val="clear" w:color="auto" w:fill="FFFFFF"/>
        </w:rPr>
        <w:t>biedrs;</w:t>
      </w:r>
      <w:r w:rsidRPr="00566A66">
        <w:rPr>
          <w:rFonts w:ascii="Times New Roman" w:hAnsi="Times New Roman" w:cs="Times New Roman"/>
          <w:color w:val="000000" w:themeColor="text1"/>
          <w:sz w:val="24"/>
          <w:szCs w:val="24"/>
        </w:rPr>
        <w:t xml:space="preserve"> </w:t>
      </w:r>
      <w:r w:rsidR="00A11AB4" w:rsidRPr="00566A66">
        <w:rPr>
          <w:rFonts w:ascii="Times New Roman" w:hAnsi="Times New Roman" w:cs="Times New Roman"/>
          <w:color w:val="000000" w:themeColor="text1"/>
          <w:sz w:val="24"/>
          <w:szCs w:val="24"/>
          <w:shd w:val="clear" w:color="auto" w:fill="FFFFFF"/>
        </w:rPr>
        <w:t>izslēgts klients, kuram vai pret kuru ir spēkā esošas saistības;</w:t>
      </w:r>
      <w:r w:rsidR="00A11AB4" w:rsidRPr="00566A66">
        <w:rPr>
          <w:rFonts w:ascii="Times New Roman" w:hAnsi="Times New Roman" w:cs="Times New Roman"/>
          <w:color w:val="000000" w:themeColor="text1"/>
          <w:sz w:val="24"/>
          <w:szCs w:val="24"/>
        </w:rPr>
        <w:br/>
      </w:r>
      <w:r w:rsidR="00A11AB4" w:rsidRPr="00566A66">
        <w:rPr>
          <w:rFonts w:ascii="Times New Roman" w:hAnsi="Times New Roman" w:cs="Times New Roman"/>
          <w:color w:val="000000" w:themeColor="text1"/>
          <w:sz w:val="24"/>
          <w:szCs w:val="24"/>
          <w:shd w:val="clear" w:color="auto" w:fill="FFFFFF"/>
        </w:rPr>
        <w:t xml:space="preserve">izslēgts biedrs, kuram vai pret kuru </w:t>
      </w:r>
      <w:r w:rsidRPr="00566A66">
        <w:rPr>
          <w:rFonts w:ascii="Times New Roman" w:hAnsi="Times New Roman" w:cs="Times New Roman"/>
          <w:color w:val="000000" w:themeColor="text1"/>
          <w:sz w:val="24"/>
          <w:szCs w:val="24"/>
          <w:shd w:val="clear" w:color="auto" w:fill="FFFFFF"/>
        </w:rPr>
        <w:t>ir</w:t>
      </w:r>
      <w:r w:rsidR="00A11AB4" w:rsidRPr="00566A66">
        <w:rPr>
          <w:rFonts w:ascii="Times New Roman" w:hAnsi="Times New Roman" w:cs="Times New Roman"/>
          <w:color w:val="000000" w:themeColor="text1"/>
          <w:sz w:val="24"/>
          <w:szCs w:val="24"/>
          <w:shd w:val="clear" w:color="auto" w:fill="FFFFFF"/>
        </w:rPr>
        <w:t xml:space="preserve"> spēkā esošas saistības</w:t>
      </w:r>
      <w:r w:rsidRPr="00566A66">
        <w:rPr>
          <w:rFonts w:ascii="Times New Roman" w:hAnsi="Times New Roman" w:cs="Times New Roman"/>
          <w:color w:val="000000" w:themeColor="text1"/>
          <w:sz w:val="24"/>
          <w:szCs w:val="24"/>
          <w:shd w:val="clear" w:color="auto" w:fill="FFFFFF"/>
        </w:rPr>
        <w:t xml:space="preserve">, </w:t>
      </w:r>
      <w:r w:rsidR="00A11AB4" w:rsidRPr="00566A66">
        <w:rPr>
          <w:rFonts w:ascii="Times New Roman" w:hAnsi="Times New Roman" w:cs="Times New Roman"/>
          <w:color w:val="000000" w:themeColor="text1"/>
          <w:sz w:val="24"/>
          <w:szCs w:val="24"/>
          <w:shd w:val="clear" w:color="auto" w:fill="FFFFFF"/>
        </w:rPr>
        <w:t>izslēgts klients (</w:t>
      </w:r>
      <w:r w:rsidR="00A11AB4" w:rsidRPr="00566A66">
        <w:rPr>
          <w:rStyle w:val="Emphasis"/>
          <w:rFonts w:ascii="Times New Roman" w:hAnsi="Times New Roman" w:cs="Times New Roman"/>
          <w:color w:val="000000" w:themeColor="text1"/>
          <w:sz w:val="24"/>
          <w:szCs w:val="24"/>
          <w:shd w:val="clear" w:color="auto" w:fill="FFFFFF"/>
        </w:rPr>
        <w:t>Closed)</w:t>
      </w:r>
      <w:r w:rsidRPr="00566A66">
        <w:rPr>
          <w:rFonts w:ascii="Times New Roman" w:hAnsi="Times New Roman" w:cs="Times New Roman"/>
          <w:color w:val="000000" w:themeColor="text1"/>
          <w:sz w:val="24"/>
          <w:szCs w:val="24"/>
          <w:shd w:val="clear" w:color="auto" w:fill="FFFFFF"/>
        </w:rPr>
        <w:t xml:space="preserve">, </w:t>
      </w:r>
      <w:r w:rsidR="00A11AB4" w:rsidRPr="00566A66">
        <w:rPr>
          <w:rFonts w:ascii="Times New Roman" w:hAnsi="Times New Roman" w:cs="Times New Roman"/>
          <w:color w:val="000000" w:themeColor="text1"/>
          <w:sz w:val="24"/>
          <w:szCs w:val="24"/>
          <w:shd w:val="clear" w:color="auto" w:fill="FFFFFF"/>
        </w:rPr>
        <w:t>izslēgts biedrs </w:t>
      </w:r>
      <w:r w:rsidR="00A11AB4" w:rsidRPr="00566A66">
        <w:rPr>
          <w:rStyle w:val="Emphasis"/>
          <w:rFonts w:ascii="Times New Roman" w:hAnsi="Times New Roman" w:cs="Times New Roman"/>
          <w:color w:val="000000" w:themeColor="text1"/>
          <w:sz w:val="24"/>
          <w:szCs w:val="24"/>
          <w:shd w:val="clear" w:color="auto" w:fill="FFFFFF"/>
        </w:rPr>
        <w:t>(Closed)</w:t>
      </w:r>
      <w:r w:rsidRPr="00566A66">
        <w:rPr>
          <w:rFonts w:ascii="Times New Roman" w:hAnsi="Times New Roman" w:cs="Times New Roman"/>
          <w:color w:val="000000" w:themeColor="text1"/>
          <w:sz w:val="24"/>
          <w:szCs w:val="24"/>
          <w:shd w:val="clear" w:color="auto" w:fill="FFFFFF"/>
        </w:rPr>
        <w:t>.</w:t>
      </w:r>
      <w:r w:rsidR="00A11AB4" w:rsidRPr="00566A66">
        <w:rPr>
          <w:rFonts w:ascii="Times New Roman" w:hAnsi="Times New Roman" w:cs="Times New Roman"/>
          <w:color w:val="000000" w:themeColor="text1"/>
          <w:sz w:val="24"/>
          <w:szCs w:val="24"/>
        </w:rPr>
        <w:br/>
      </w:r>
      <w:r w:rsidR="00A11AB4" w:rsidRPr="00566A66">
        <w:rPr>
          <w:rFonts w:ascii="Times New Roman" w:hAnsi="Times New Roman" w:cs="Times New Roman"/>
          <w:color w:val="000000" w:themeColor="text1"/>
          <w:sz w:val="24"/>
          <w:szCs w:val="24"/>
          <w:shd w:val="clear" w:color="auto" w:fill="FFFFFF"/>
        </w:rPr>
        <w:lastRenderedPageBreak/>
        <w:t>Slēgti klienti/biedri joprojām parādās klientu sarakstā, tikai kā neaktīvi. Noformēt darījumus ar viņiem sistēmā nav iespējams, tikai apskatīt darījumu vēsturi.</w:t>
      </w:r>
      <w:r w:rsidR="00A11AB4" w:rsidRPr="00566A66">
        <w:rPr>
          <w:rFonts w:ascii="Times New Roman" w:hAnsi="Times New Roman" w:cs="Times New Roman"/>
          <w:color w:val="000000" w:themeColor="text1"/>
          <w:sz w:val="24"/>
          <w:szCs w:val="24"/>
        </w:rPr>
        <w:br/>
      </w:r>
      <w:r w:rsidR="00A11AB4" w:rsidRPr="00566A66">
        <w:rPr>
          <w:rFonts w:ascii="Times New Roman" w:hAnsi="Times New Roman" w:cs="Times New Roman"/>
          <w:color w:val="000000" w:themeColor="text1"/>
          <w:sz w:val="24"/>
          <w:szCs w:val="24"/>
          <w:shd w:val="clear" w:color="auto" w:fill="FFFFFF"/>
        </w:rPr>
        <w:t xml:space="preserve">Slēgtu klientu/biedru ir iespēja reaktivizēt. Piemēram, ja viņš no jauna iestājas </w:t>
      </w:r>
      <w:r w:rsidRPr="00566A66">
        <w:rPr>
          <w:rFonts w:ascii="Times New Roman" w:hAnsi="Times New Roman" w:cs="Times New Roman"/>
          <w:color w:val="000000" w:themeColor="text1"/>
          <w:sz w:val="24"/>
          <w:szCs w:val="24"/>
          <w:shd w:val="clear" w:color="auto" w:fill="FFFFFF"/>
        </w:rPr>
        <w:t>Krājaizdevu sabiedrībā.</w:t>
      </w:r>
      <w:r w:rsidR="00A11AB4" w:rsidRPr="00566A66">
        <w:rPr>
          <w:rFonts w:ascii="Times New Roman" w:hAnsi="Times New Roman" w:cs="Times New Roman"/>
          <w:color w:val="000000" w:themeColor="text1"/>
          <w:sz w:val="24"/>
          <w:szCs w:val="24"/>
        </w:rPr>
        <w:br/>
      </w:r>
      <w:r w:rsidR="00A11AB4" w:rsidRPr="00566A66">
        <w:rPr>
          <w:rFonts w:ascii="Times New Roman" w:hAnsi="Times New Roman" w:cs="Times New Roman"/>
          <w:color w:val="000000" w:themeColor="text1"/>
          <w:sz w:val="24"/>
          <w:szCs w:val="24"/>
          <w:shd w:val="clear" w:color="auto" w:fill="FFFFFF"/>
        </w:rPr>
        <w:t>Slēgtu klientu/biedru var arī neatgriezeniski izdzēst (funkcija </w:t>
      </w:r>
      <w:r w:rsidR="00A11AB4" w:rsidRPr="00566A66">
        <w:rPr>
          <w:rStyle w:val="Emphasis"/>
          <w:rFonts w:ascii="Times New Roman" w:hAnsi="Times New Roman" w:cs="Times New Roman"/>
          <w:color w:val="000000" w:themeColor="text1"/>
          <w:sz w:val="24"/>
          <w:szCs w:val="24"/>
          <w:shd w:val="clear" w:color="auto" w:fill="FFFFFF"/>
        </w:rPr>
        <w:t>Delete</w:t>
      </w:r>
      <w:r w:rsidR="00A11AB4" w:rsidRPr="00566A66">
        <w:rPr>
          <w:rFonts w:ascii="Times New Roman" w:hAnsi="Times New Roman" w:cs="Times New Roman"/>
          <w:color w:val="000000" w:themeColor="text1"/>
          <w:sz w:val="24"/>
          <w:szCs w:val="24"/>
          <w:shd w:val="clear" w:color="auto" w:fill="FFFFFF"/>
        </w:rPr>
        <w:t xml:space="preserve">). Tādā gadījumā </w:t>
      </w:r>
      <w:r w:rsidRPr="00566A66">
        <w:rPr>
          <w:rFonts w:ascii="Times New Roman" w:hAnsi="Times New Roman" w:cs="Times New Roman"/>
          <w:color w:val="000000" w:themeColor="text1"/>
          <w:sz w:val="24"/>
          <w:szCs w:val="24"/>
          <w:shd w:val="clear" w:color="auto" w:fill="FFFFFF"/>
        </w:rPr>
        <w:t>Sistēmā</w:t>
      </w:r>
      <w:r w:rsidR="00A11AB4" w:rsidRPr="00566A66">
        <w:rPr>
          <w:rFonts w:ascii="Times New Roman" w:hAnsi="Times New Roman" w:cs="Times New Roman"/>
          <w:color w:val="000000" w:themeColor="text1"/>
          <w:sz w:val="24"/>
          <w:szCs w:val="24"/>
          <w:shd w:val="clear" w:color="auto" w:fill="FFFFFF"/>
        </w:rPr>
        <w:t xml:space="preserve"> informācija par slēgtu klientu/biedru vairs nav redzama</w:t>
      </w:r>
    </w:p>
    <w:p w14:paraId="4860EACB" w14:textId="010D3FC3"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Būtu vēlams, lai programma ļautu atzīmēt ar </w:t>
      </w:r>
      <w:r w:rsidR="00174980">
        <w:rPr>
          <w:rFonts w:ascii="Times New Roman" w:eastAsia="Times New Roman" w:hAnsi="Times New Roman" w:cs="Times New Roman"/>
          <w:color w:val="000000"/>
          <w:sz w:val="24"/>
          <w:szCs w:val="24"/>
          <w:lang w:val="lv-LV" w:eastAsia="lv-LV"/>
        </w:rPr>
        <w:t>Krājaizdevu sabiedrību</w:t>
      </w:r>
      <w:r>
        <w:rPr>
          <w:rFonts w:ascii="Times New Roman" w:eastAsia="Times New Roman" w:hAnsi="Times New Roman" w:cs="Times New Roman"/>
          <w:color w:val="000000"/>
          <w:sz w:val="24"/>
          <w:szCs w:val="24"/>
          <w:lang w:val="lv-LV" w:eastAsia="lv-LV"/>
        </w:rPr>
        <w:t xml:space="preserve"> saistītas personas. Jāizmanto Shareholders (paju īpašnieki). Savstarpējo saistību shēmatiskai attēlošanai vajadzīga papildus programmēšana, tajā skaitā papildus lauku ieviešana datu bāzē.</w:t>
      </w:r>
    </w:p>
    <w:p w14:paraId="491C42DD"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300 cilvēkstundas. Izmaksas esošās sistēmas pielāgošanai - apmēram 40 cilvēkstundas.</w:t>
      </w:r>
    </w:p>
    <w:p w14:paraId="5C3DFF4F"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5.3.2. Jauna biedra pievienošana, labošana, izslēgšana</w:t>
      </w:r>
    </w:p>
    <w:p w14:paraId="5178708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ļauj brīvi reģistrēt jaunu biedru - gan fizisku personu, gan uzņēmumu, organizāciju.</w:t>
      </w:r>
    </w:p>
    <w:p w14:paraId="148214C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Biedra datus ir iespēja labot un papildināt.</w:t>
      </w:r>
    </w:p>
    <w:p w14:paraId="5D6319E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Biedru nevar izslēgt, kamēr viņam ir aktīvs/-i konts/-i.</w:t>
      </w:r>
    </w:p>
    <w:p w14:paraId="3DE5EBC4"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Krājaizdevu sabiedrībām specifisko prasību  (t.i. paju uzskaitei), būtu jāpiemēro  sistēmas produkts “Share”. </w:t>
      </w:r>
    </w:p>
    <w:p w14:paraId="38929C2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Izslēgtos biedrus var aplūkot,kā arī viņu kontu vēsturi.</w:t>
      </w:r>
    </w:p>
    <w:p w14:paraId="6B7DC88D"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200 cilvēkstundas. Izmaksas esošās sistēmas pielāgošanai - apmēram 20 cilvēkstundas</w:t>
      </w:r>
    </w:p>
    <w:p w14:paraId="5383CC7F"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5.3.3. Klientu profili, klientu dokumenti</w:t>
      </w:r>
    </w:p>
    <w:p w14:paraId="024906F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sz w:val="24"/>
          <w:szCs w:val="24"/>
          <w:lang w:val="lv-LV" w:eastAsia="lv-LV"/>
        </w:rPr>
        <w:t>5.3.3.1. Klientu profili, identifikācija, identifikācijas dokumentu augšupielāde.</w:t>
      </w:r>
    </w:p>
    <w:p w14:paraId="469D21F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ļauj pievienot personas dokumenta kopiju un apskatīt. Skatīt var MifosX lietotāja interfeisā vai arī lejupielādēt tie sistēmas lietotāji (darbinieki), kam ir atbilstošas pieejas. Fineract API jautās piekļuves paroli.</w:t>
      </w:r>
    </w:p>
    <w:p w14:paraId="152D2B0C"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Izmaksas esošās sistēmas pielāgošanai - apmēram 10 cilvēkstundas (tikai tulkošana).</w:t>
      </w:r>
    </w:p>
    <w:p w14:paraId="00D930D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sz w:val="24"/>
          <w:szCs w:val="24"/>
          <w:lang w:val="lv-LV" w:eastAsia="lv-LV"/>
        </w:rPr>
        <w:t>5.3.3.2. Klienta profili, anketas atbilstoši NILLTF prasībām.</w:t>
      </w:r>
    </w:p>
    <w:p w14:paraId="2732AA61"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Politiski nozīmīgas personas atzīmēt nevar. Tas ir viens no aspektiem, ko vajadzēs pieprogrammēt klāt, pievienojot jaunus laukus biedriem (klientiem). Līdzīgi par personu savstarpējām saistībām - arī šīs lietas nav iekļautas MifosX/Fineract standarta versijā. Pašā vienkāršākajā veidā to var realizēt kā nestrukturētas piezīmes.</w:t>
      </w:r>
    </w:p>
    <w:p w14:paraId="5DBF06A8"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200 cilvēkstundas. Izmaksas esošās sistēmas pielāgošanai: nav attiecināmas.</w:t>
      </w:r>
    </w:p>
    <w:p w14:paraId="046F41F3"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5.4. Aizdevumi (kredīti)</w:t>
      </w:r>
    </w:p>
    <w:p w14:paraId="3B41BA14"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Sistēma ļauj veidot un konfigurēt kredītu produktus, tajā skaitā Krājaizdevu sabiedrībām specifskos kredītu produktus. Iespējams izveidot kredītu produktus, piemērojot atšķirīgus procentu aprēķināšanas un atmaksu nosacījumus. Nav paredzēts noteikt </w:t>
      </w:r>
      <w:r>
        <w:rPr>
          <w:rFonts w:ascii="Times New Roman" w:eastAsia="Times New Roman" w:hAnsi="Times New Roman" w:cs="Times New Roman"/>
          <w:color w:val="000000"/>
          <w:sz w:val="24"/>
          <w:szCs w:val="24"/>
          <w:lang w:val="lv-LV" w:eastAsia="lv-LV"/>
        </w:rPr>
        <w:lastRenderedPageBreak/>
        <w:t>nokavējuma naudas un to aprēķināšanas kārtību kredīta produktam kopumā (tikai katram klientam atsevišķi, atverot kredītu).</w:t>
      </w:r>
    </w:p>
    <w:p w14:paraId="638C70F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Kredītu klasifikācijā jābūt standarta, uzraugāmais, zemstandarta, šaubīgais, zaudētais. Trūkst “uzraugāmais”.</w:t>
      </w:r>
    </w:p>
    <w:p w14:paraId="1DD5F265"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160 cilvēkstundas. Izmaksas esošās sistēmas pielāgošanai - apmēram 40 cilvēkstundas.</w:t>
      </w:r>
    </w:p>
    <w:p w14:paraId="33C0D78C" w14:textId="2778A199" w:rsidR="00553AF1" w:rsidRDefault="00A11AB4">
      <w:pPr>
        <w:spacing w:before="140" w:after="120" w:line="240" w:lineRule="auto"/>
        <w:jc w:val="both"/>
        <w:outlineLvl w:val="2"/>
        <w:rPr>
          <w:rFonts w:ascii="Times New Roman" w:eastAsia="Times New Roman" w:hAnsi="Times New Roman" w:cs="Times New Roman"/>
          <w:b/>
          <w:bCs/>
          <w:sz w:val="28"/>
          <w:szCs w:val="28"/>
          <w:lang w:val="lv-LV" w:eastAsia="lv-LV"/>
        </w:rPr>
      </w:pPr>
      <w:r>
        <w:rPr>
          <w:rFonts w:ascii="Times New Roman" w:eastAsia="Times New Roman" w:hAnsi="Times New Roman" w:cs="Times New Roman"/>
          <w:b/>
          <w:bCs/>
          <w:color w:val="000000"/>
          <w:sz w:val="28"/>
          <w:szCs w:val="28"/>
          <w:lang w:val="lv-LV" w:eastAsia="lv-LV"/>
        </w:rPr>
        <w:t>5.4.1. Kredīta konta izveidošana</w:t>
      </w:r>
      <w:r w:rsidR="006A69A8">
        <w:rPr>
          <w:rFonts w:ascii="Times New Roman" w:eastAsia="Times New Roman" w:hAnsi="Times New Roman" w:cs="Times New Roman"/>
          <w:b/>
          <w:bCs/>
          <w:color w:val="000000"/>
          <w:sz w:val="28"/>
          <w:szCs w:val="28"/>
          <w:lang w:val="lv-LV" w:eastAsia="lv-LV"/>
        </w:rPr>
        <w:t>, procenti</w:t>
      </w:r>
    </w:p>
    <w:p w14:paraId="0819DAF2" w14:textId="34CBCDAD"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Sistēma ļauj, ka klientam kredīta kontu var izveidot, izvēloties no sistēmā izveidotajiem kredītu produktiem. To konfigurē uzreiz pēc instalācijas un/vai vēlāk darbības laikā.</w:t>
      </w:r>
    </w:p>
    <w:p w14:paraId="327D26AC" w14:textId="77777777" w:rsidR="006C4DB1" w:rsidRPr="00444FD4" w:rsidRDefault="006C4DB1" w:rsidP="006C4DB1">
      <w:pPr>
        <w:spacing w:after="0" w:line="240" w:lineRule="auto"/>
        <w:ind w:firstLine="567"/>
        <w:jc w:val="both"/>
        <w:rPr>
          <w:rFonts w:ascii="Times New Roman" w:hAnsi="Times New Roman" w:cs="Times New Roman"/>
          <w:color w:val="000000" w:themeColor="text1"/>
          <w:sz w:val="24"/>
          <w:szCs w:val="24"/>
          <w:shd w:val="clear" w:color="auto" w:fill="FFFFFF"/>
        </w:rPr>
      </w:pPr>
      <w:r w:rsidRPr="00444FD4">
        <w:rPr>
          <w:rFonts w:ascii="Times New Roman" w:hAnsi="Times New Roman" w:cs="Times New Roman"/>
          <w:color w:val="000000" w:themeColor="text1"/>
          <w:sz w:val="24"/>
          <w:szCs w:val="24"/>
          <w:shd w:val="clear" w:color="auto" w:fill="FFFFFF"/>
        </w:rPr>
        <w:t xml:space="preserve">Sistēma pieļauj fiksētu un  mainīgu procentu likmi kredītiem. Mainīgās procentu likmes un periodi nosakāmi administratora līmenī. </w:t>
      </w:r>
    </w:p>
    <w:p w14:paraId="652A786C" w14:textId="70F4ACA0" w:rsidR="006C4DB1" w:rsidRPr="00444FD4" w:rsidRDefault="006C4DB1" w:rsidP="006C4DB1">
      <w:pPr>
        <w:spacing w:after="0" w:line="240" w:lineRule="auto"/>
        <w:ind w:firstLine="567"/>
        <w:jc w:val="both"/>
        <w:rPr>
          <w:rFonts w:ascii="Times New Roman" w:hAnsi="Times New Roman" w:cs="Times New Roman"/>
          <w:color w:val="000000" w:themeColor="text1"/>
          <w:sz w:val="24"/>
          <w:szCs w:val="24"/>
          <w:shd w:val="clear" w:color="auto" w:fill="FFFFFF"/>
        </w:rPr>
      </w:pPr>
      <w:r w:rsidRPr="00444FD4">
        <w:rPr>
          <w:rFonts w:ascii="Times New Roman" w:hAnsi="Times New Roman" w:cs="Times New Roman"/>
          <w:color w:val="000000" w:themeColor="text1"/>
          <w:sz w:val="24"/>
          <w:szCs w:val="24"/>
          <w:shd w:val="clear" w:color="auto" w:fill="FFFFFF"/>
        </w:rPr>
        <w:t>Fiksētās/mainīgās procentu likmes (minimālo, noklusēto, maksimālo) kredītiem definē administrators, izveidojot produktus. Konkrētam darījumam procentu likmi noteiktajās robežās ievada darbinieks, kuram ir tiesības atvērt kontus.</w:t>
      </w:r>
    </w:p>
    <w:p w14:paraId="758F7700" w14:textId="45054914" w:rsidR="00444FD4" w:rsidRPr="00444FD4" w:rsidRDefault="00444FD4" w:rsidP="006C4DB1">
      <w:pPr>
        <w:spacing w:after="0" w:line="240" w:lineRule="auto"/>
        <w:ind w:firstLine="567"/>
        <w:jc w:val="both"/>
        <w:rPr>
          <w:rFonts w:ascii="Times New Roman" w:hAnsi="Times New Roman" w:cs="Times New Roman"/>
          <w:color w:val="000000" w:themeColor="text1"/>
          <w:sz w:val="24"/>
          <w:szCs w:val="24"/>
          <w:shd w:val="clear" w:color="auto" w:fill="FFFFFF"/>
        </w:rPr>
      </w:pPr>
      <w:r w:rsidRPr="00444FD4">
        <w:rPr>
          <w:rFonts w:ascii="Times New Roman" w:hAnsi="Times New Roman" w:cs="Times New Roman"/>
          <w:color w:val="000000" w:themeColor="text1"/>
          <w:sz w:val="24"/>
          <w:szCs w:val="24"/>
          <w:shd w:val="clear" w:color="auto" w:fill="FFFFFF"/>
        </w:rPr>
        <w:t>Definējot kredītu produktus, ir iespēja paredzēt procentu pārrēķinu gadījumos, kad kredīta atmaksa tiek kavēta (arī daļēji) vai veikta priekšapmaksa.</w:t>
      </w:r>
      <w:r w:rsidRPr="00444FD4">
        <w:rPr>
          <w:rFonts w:ascii="Times New Roman" w:hAnsi="Times New Roman" w:cs="Times New Roman"/>
          <w:color w:val="000000" w:themeColor="text1"/>
          <w:sz w:val="24"/>
          <w:szCs w:val="24"/>
        </w:rPr>
        <w:br/>
      </w:r>
      <w:r w:rsidRPr="00444FD4">
        <w:rPr>
          <w:rFonts w:ascii="Times New Roman" w:hAnsi="Times New Roman" w:cs="Times New Roman"/>
          <w:color w:val="000000" w:themeColor="text1"/>
          <w:sz w:val="24"/>
          <w:szCs w:val="24"/>
          <w:shd w:val="clear" w:color="auto" w:fill="FFFFFF"/>
        </w:rPr>
        <w:t>Procentu aprēķināšanas metodi esoša kredītlīguma perioda laikā mainīt nav iespēja. Mainot procentu aprēķināšanas metodi esošais kredīts jādzēš un jāievada no jauna ar jaunajiem nosacījumiem.</w:t>
      </w:r>
    </w:p>
    <w:p w14:paraId="62F13B85"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Darba patēriņš, ja šajā nodaļā aprakstītā funkcionalitāte jāveido no jauna: 60 cilvēkstundas. Izmaksas esošās sistēmas pielāgošanai - apmēram 8 cilvēkstundas.</w:t>
      </w:r>
    </w:p>
    <w:p w14:paraId="5B8553B4"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5.4.2. Apstiprināt jaunu kredītu</w:t>
      </w:r>
    </w:p>
    <w:p w14:paraId="24E8F9E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Sistēmā kredīta apstiprināšana darbojas kvalitatīvi.</w:t>
      </w:r>
    </w:p>
    <w:p w14:paraId="18C8FBA0"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Izmaksas esošās sistēmas pielāgošanai - apmēram 6 cilvēkstundas.</w:t>
      </w:r>
    </w:p>
    <w:p w14:paraId="7169ECA2" w14:textId="4EB42B79"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5.4.3. Labot kredīta aizdevumu (neizdota)</w:t>
      </w:r>
    </w:p>
    <w:p w14:paraId="07A7F5F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pieļauj neizsniegta kredīta labošanu/rediģēšanu.</w:t>
      </w:r>
    </w:p>
    <w:p w14:paraId="5192F864"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Izmaksas esošās sistēmas pielāgošanai - apmēram 16 cilvēkstundas.</w:t>
      </w:r>
    </w:p>
    <w:p w14:paraId="0E4FE601"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5.4.4. Anulēt neizdotu kredītu</w:t>
      </w:r>
    </w:p>
    <w:p w14:paraId="2A376764"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pieļauj neizsniegta kredīta anulēšanu.</w:t>
      </w:r>
    </w:p>
    <w:p w14:paraId="2A86358E"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Izmaksas esošās sistēmas pielāgošanai - apmēram 8 cilvēkstundas.</w:t>
      </w:r>
    </w:p>
    <w:p w14:paraId="79C15456"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5.4.5. Aizdevuma grafiki</w:t>
      </w:r>
    </w:p>
    <w:p w14:paraId="08CD5996"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Sistēma atbalsta dažādus tipveida aizdevumus: (</w:t>
      </w:r>
      <w:hyperlink r:id="rId35">
        <w:r>
          <w:rPr>
            <w:rFonts w:ascii="Times New Roman" w:eastAsia="Times New Roman" w:hAnsi="Times New Roman" w:cs="Times New Roman"/>
            <w:color w:val="1155CC"/>
            <w:sz w:val="24"/>
            <w:szCs w:val="24"/>
            <w:u w:val="single"/>
            <w:lang w:val="lv-LV" w:eastAsia="lv-LV"/>
          </w:rPr>
          <w:t>https://mifos.org/mifos-x/flexible-product-configuration/</w:t>
        </w:r>
      </w:hyperlink>
      <w:r>
        <w:rPr>
          <w:rFonts w:ascii="Times New Roman" w:eastAsia="Times New Roman" w:hAnsi="Times New Roman" w:cs="Times New Roman"/>
          <w:color w:val="000000"/>
          <w:sz w:val="24"/>
          <w:szCs w:val="24"/>
          <w:lang w:val="lv-LV" w:eastAsia="lv-LV"/>
        </w:rPr>
        <w:t>).</w:t>
      </w:r>
    </w:p>
    <w:p w14:paraId="48F28A2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ērti uzskaita Kredītu atmaksu, atmaksas atspoguļojums notiek gan Klienta pozīcijā, gan sabiebrības bilancē. Procentu, pamatsummas sadalījumi tiek atspoguļoti.</w:t>
      </w:r>
    </w:p>
    <w:p w14:paraId="1BAB295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Sistēmas testēšanas gaitā testēta Kredītu grafiku izveide: vienādi pamatsummas maksājumi, anuitātes maksājumi, kredīta atmaksa termiņa beigās, kredītlīnijas.</w:t>
      </w:r>
    </w:p>
    <w:p w14:paraId="105E2F19" w14:textId="77777777" w:rsidR="00553AF1" w:rsidRDefault="00A11AB4">
      <w:pPr>
        <w:spacing w:before="240" w:after="40" w:line="240" w:lineRule="auto"/>
        <w:jc w:val="both"/>
        <w:outlineLvl w:val="3"/>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color w:val="000000"/>
          <w:sz w:val="24"/>
          <w:szCs w:val="24"/>
          <w:lang w:val="lv-LV" w:eastAsia="lv-LV"/>
        </w:rPr>
        <w:lastRenderedPageBreak/>
        <w:t>5.4.5.1. Vienādā ikmēneša summa</w:t>
      </w:r>
    </w:p>
    <w:p w14:paraId="08419DE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kredīta atmaksas grafiku ar vienādiem maksājumiem ļauj noteikt kredīta produktam.</w:t>
      </w:r>
    </w:p>
    <w:p w14:paraId="5853C69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Izmaksas esošās sistēmas pielāgošanai - apmēram 4 cilvēkstundas.</w:t>
      </w:r>
    </w:p>
    <w:p w14:paraId="20F66B9E" w14:textId="77777777" w:rsidR="00553AF1" w:rsidRDefault="00A11AB4">
      <w:pPr>
        <w:spacing w:before="240" w:after="40" w:line="240" w:lineRule="auto"/>
        <w:jc w:val="both"/>
        <w:outlineLvl w:val="3"/>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color w:val="000000"/>
          <w:sz w:val="24"/>
          <w:szCs w:val="24"/>
          <w:lang w:val="lv-LV" w:eastAsia="lv-LV"/>
        </w:rPr>
        <w:t>5.4.5.2. Vienādā pamat aizdevuma summa</w:t>
      </w:r>
    </w:p>
    <w:p w14:paraId="288B614B"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SIistēma kredīta atmaksas grafiku ar vienādiem pamatsummas maksājumiem ļauj noteikt kredīta produktam.</w:t>
      </w:r>
    </w:p>
    <w:p w14:paraId="06204C5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60 cilvēkstundas. Izmaksas esošās sistēmas pielāgošanai - apmēram 8 cilvēkstundas</w:t>
      </w:r>
    </w:p>
    <w:p w14:paraId="201E8EFD" w14:textId="77777777" w:rsidR="00553AF1" w:rsidRDefault="00A11AB4">
      <w:pPr>
        <w:spacing w:before="240" w:after="40" w:line="240" w:lineRule="auto"/>
        <w:jc w:val="both"/>
        <w:outlineLvl w:val="3"/>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color w:val="000000"/>
          <w:sz w:val="24"/>
          <w:szCs w:val="24"/>
          <w:lang w:val="lv-LV" w:eastAsia="lv-LV"/>
        </w:rPr>
        <w:t>5.4.5.3. lkmēneša %, pilna summa termiņa beigās</w:t>
      </w:r>
    </w:p>
    <w:p w14:paraId="4F60356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SIstēmā šāda veida kredītprodukti gatavā veidā netiek atbalstīti. Iespējams, tie jāveido no jauna.</w:t>
      </w:r>
    </w:p>
    <w:p w14:paraId="38EDCB25"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Izmaksas esošās sistēmas pielāgošanai - tādas pašas kā jaunai izstrādei (40 stundas).</w:t>
      </w:r>
    </w:p>
    <w:p w14:paraId="159727A8" w14:textId="77777777" w:rsidR="00553AF1" w:rsidRDefault="00A11AB4">
      <w:pPr>
        <w:spacing w:before="240" w:after="40" w:line="240" w:lineRule="auto"/>
        <w:jc w:val="both"/>
        <w:outlineLvl w:val="3"/>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color w:val="000000"/>
          <w:sz w:val="24"/>
          <w:szCs w:val="24"/>
          <w:lang w:val="lv-LV" w:eastAsia="lv-LV"/>
        </w:rPr>
        <w:t>5.4.5.4. Brīvais/Kredītlīnija</w:t>
      </w:r>
    </w:p>
    <w:p w14:paraId="62D90A0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Sistēmā šāda veida kredīta atmaksas termiņi gatavā veidā nav pieejami.</w:t>
      </w:r>
    </w:p>
    <w:p w14:paraId="3B61CE7C"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40 cilvēkstundas. Pielāgošanai vajadzīgais darba patēriņš tāds pats (jo nav, ko pielāgot).</w:t>
      </w:r>
    </w:p>
    <w:p w14:paraId="323B4A22"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5.4.6. Kredīta izdošana</w:t>
      </w:r>
    </w:p>
    <w:p w14:paraId="2797C116"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Kredīta apstiprināšana/izmaksa/pārskaitīšana Klientam</w:t>
      </w:r>
    </w:p>
    <w:p w14:paraId="03D72E74"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30 cilvēkstundas. Pielāgošana: 4 stundas.</w:t>
      </w:r>
    </w:p>
    <w:p w14:paraId="711DDA3A"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5.4.7. Kapitalizēt uzkrātos procentus</w:t>
      </w:r>
    </w:p>
    <w:p w14:paraId="2149C4DB"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Mifos X atbalsta procentu aprēķināšanu pēc vidējās dienas bilances ar iespēju norādīt procentu pieaugumu ik dienu vai ik mēnesi. Atbalsta komisijas maksas absolūtās summās vai kā daļu no aizdevuma, ko var iekasēt noteiktos datumos, pie izsniegšanas vai atmaksas, vai kā ikgadējās vai mēneša maksas (skat. </w:t>
      </w:r>
      <w:hyperlink r:id="rId36">
        <w:r>
          <w:rPr>
            <w:rFonts w:ascii="Times New Roman" w:eastAsia="Times New Roman" w:hAnsi="Times New Roman" w:cs="Times New Roman"/>
            <w:color w:val="1155CC"/>
            <w:sz w:val="24"/>
            <w:szCs w:val="24"/>
            <w:u w:val="single"/>
            <w:lang w:val="lv-LV" w:eastAsia="lv-LV"/>
          </w:rPr>
          <w:t>https://mifos.org/mifos-x/flexible-product-configuration/</w:t>
        </w:r>
      </w:hyperlink>
      <w:r>
        <w:rPr>
          <w:rFonts w:ascii="Times New Roman" w:eastAsia="Times New Roman" w:hAnsi="Times New Roman" w:cs="Times New Roman"/>
          <w:color w:val="000000"/>
          <w:sz w:val="24"/>
          <w:szCs w:val="24"/>
          <w:lang w:val="lv-LV" w:eastAsia="lv-LV"/>
        </w:rPr>
        <w:t>.</w:t>
      </w:r>
    </w:p>
    <w:p w14:paraId="2611BAA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300 cilvēkstundas. Ja jāpielāgo esošā sistēma - apmēram 60 cilvēkstundas.</w:t>
      </w:r>
    </w:p>
    <w:p w14:paraId="11339D19" w14:textId="77777777" w:rsidR="00553AF1" w:rsidRDefault="00A11AB4">
      <w:pPr>
        <w:spacing w:before="200" w:after="120" w:line="240" w:lineRule="auto"/>
        <w:jc w:val="both"/>
        <w:outlineLvl w:val="1"/>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5.5. Noguldījumi/Ieguldījumi</w:t>
      </w:r>
    </w:p>
    <w:p w14:paraId="041E938A"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Sistēmas Noguldījumu produktu apraksts pieejams: </w:t>
      </w:r>
      <w:hyperlink r:id="rId37">
        <w:r>
          <w:rPr>
            <w:rFonts w:ascii="Times New Roman" w:eastAsia="Times New Roman" w:hAnsi="Times New Roman" w:cs="Times New Roman"/>
            <w:color w:val="1155CC"/>
            <w:sz w:val="24"/>
            <w:szCs w:val="24"/>
            <w:u w:val="single"/>
            <w:lang w:val="lv-LV" w:eastAsia="lv-LV"/>
          </w:rPr>
          <w:t>https://mifos.org/mifos-x/flexible-product-configuration/</w:t>
        </w:r>
      </w:hyperlink>
      <w:r>
        <w:rPr>
          <w:rFonts w:ascii="Times New Roman" w:eastAsia="Times New Roman" w:hAnsi="Times New Roman" w:cs="Times New Roman"/>
          <w:color w:val="000000"/>
          <w:sz w:val="24"/>
          <w:szCs w:val="24"/>
          <w:lang w:val="lv-LV" w:eastAsia="lv-LV"/>
        </w:rPr>
        <w:t>. Sistēma atbalsta vienreizējos un papildināmos noguldījumus, krājkontus, tekošos kontus, maksājumu uzdevumus un kontu naudas pārsūtīšanu, paju/daļu kontus un investīciju kontus.</w:t>
      </w:r>
    </w:p>
    <w:p w14:paraId="240EC53D"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450 cilvēkstundas (summēti visi pakārtotie punkti).</w:t>
      </w:r>
    </w:p>
    <w:p w14:paraId="65B18029" w14:textId="77777777" w:rsidR="00553AF1" w:rsidRDefault="00553AF1">
      <w:pPr>
        <w:spacing w:after="0" w:line="240" w:lineRule="auto"/>
        <w:rPr>
          <w:rFonts w:ascii="Times New Roman" w:eastAsia="Times New Roman" w:hAnsi="Times New Roman" w:cs="Times New Roman"/>
          <w:sz w:val="24"/>
          <w:szCs w:val="24"/>
          <w:lang w:val="lv-LV" w:eastAsia="lv-LV"/>
        </w:rPr>
      </w:pPr>
    </w:p>
    <w:p w14:paraId="658E9E47"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5.5.1. Noguldījuma/ Ieguldījuma konti</w:t>
      </w:r>
    </w:p>
    <w:p w14:paraId="2B5AED86"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ļauj veidot un konfigurēt noguldījuma produktus, tajā skaitā Krājaizdevu sabiedrībām specifskos noguldījumu produktus. Iespējams izveidot noguldījumu produktus, piemērojot atšķirīgus procentu aprēķināšanas un izmaksas nosacījumus. Sistēma nodrošina noguldījuma atspoguļošanu gan sabiedrības/uzņēmuma bilancē, gan klienta pozīcijā. Sistēma nodrošina noguldījumu uzskaiti, uzkrāto procentu uzskaiti.</w:t>
      </w:r>
    </w:p>
    <w:p w14:paraId="5A56FE73"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150 cilvēkstundas. Pielāgošana - 16 stundas.</w:t>
      </w:r>
    </w:p>
    <w:p w14:paraId="566C7AA3"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Krājkontus konfigurē, iestatot uzkrājumu produktus. Šie produkti ir tipveida noguldījuma parametri. Uzkrājumu produktu izveide un iestatīšana aprakstīta </w:t>
      </w:r>
      <w:hyperlink r:id="rId38">
        <w:r>
          <w:rPr>
            <w:rFonts w:ascii="Times New Roman" w:eastAsia="Times New Roman" w:hAnsi="Times New Roman" w:cs="Times New Roman"/>
            <w:color w:val="1155CC"/>
            <w:sz w:val="24"/>
            <w:szCs w:val="24"/>
            <w:u w:val="single"/>
            <w:lang w:val="lv-LV" w:eastAsia="lv-LV"/>
          </w:rPr>
          <w:t>https://mifosforge.jira.com/wiki/spaces/docs/pages/102629497/Savings+Products</w:t>
        </w:r>
      </w:hyperlink>
      <w:r>
        <w:rPr>
          <w:rFonts w:ascii="Times New Roman" w:eastAsia="Times New Roman" w:hAnsi="Times New Roman" w:cs="Times New Roman"/>
          <w:color w:val="000000"/>
          <w:sz w:val="24"/>
          <w:szCs w:val="24"/>
          <w:lang w:val="lv-LV" w:eastAsia="lv-LV"/>
        </w:rPr>
        <w:t>.</w:t>
      </w:r>
    </w:p>
    <w:p w14:paraId="1AA99888" w14:textId="77777777" w:rsidR="00553AF1" w:rsidRDefault="00553AF1">
      <w:pPr>
        <w:spacing w:after="0" w:line="240" w:lineRule="auto"/>
        <w:rPr>
          <w:rFonts w:ascii="Times New Roman" w:eastAsia="Times New Roman" w:hAnsi="Times New Roman" w:cs="Times New Roman"/>
          <w:sz w:val="24"/>
          <w:szCs w:val="24"/>
          <w:lang w:val="lv-LV" w:eastAsia="lv-LV"/>
        </w:rPr>
      </w:pPr>
    </w:p>
    <w:p w14:paraId="774D60A9"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5.5.2. Noguldījumu/ieguldījumu procenti</w:t>
      </w:r>
    </w:p>
    <w:p w14:paraId="6E8229A1" w14:textId="1D491934"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Sistēma nodrošina noguldījumu procentu aprēķināšanu uzskaiti un attiecināšana gan klienta pozīcijā, gan uzņēmuma/sabiedrības bilancē.</w:t>
      </w:r>
    </w:p>
    <w:p w14:paraId="1858A820" w14:textId="7FEF25AD" w:rsidR="006C4DB1" w:rsidRPr="006C4DB1" w:rsidRDefault="006C4DB1" w:rsidP="006C4DB1">
      <w:pPr>
        <w:spacing w:after="140" w:line="240" w:lineRule="auto"/>
        <w:ind w:firstLine="567"/>
        <w:jc w:val="both"/>
        <w:rPr>
          <w:rFonts w:ascii="Times New Roman" w:hAnsi="Times New Roman" w:cs="Times New Roman"/>
          <w:color w:val="000000" w:themeColor="text1"/>
          <w:sz w:val="24"/>
          <w:szCs w:val="24"/>
        </w:rPr>
      </w:pPr>
      <w:r w:rsidRPr="006C4DB1">
        <w:rPr>
          <w:rFonts w:ascii="Times New Roman" w:hAnsi="Times New Roman" w:cs="Times New Roman"/>
          <w:color w:val="000000" w:themeColor="text1"/>
          <w:sz w:val="24"/>
          <w:szCs w:val="24"/>
        </w:rPr>
        <w:t xml:space="preserve">Sistēma noguldījumiem pieļauj tikai fiksētas </w:t>
      </w:r>
      <w:r w:rsidRPr="006C4DB1">
        <w:rPr>
          <w:rFonts w:ascii="Times New Roman" w:hAnsi="Times New Roman" w:cs="Times New Roman"/>
          <w:color w:val="000000" w:themeColor="text1"/>
          <w:sz w:val="24"/>
          <w:szCs w:val="24"/>
          <w:shd w:val="clear" w:color="auto" w:fill="FFFFFF"/>
        </w:rPr>
        <w:t>procentu likmes. Likmes noguldījumiem un periodus, kādiem tās tiek piemērotas, sistēmā ievada administrators atsevišķi katram produktam.</w:t>
      </w:r>
    </w:p>
    <w:p w14:paraId="1283F79B"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100 cilvēkstundas. Pielāgošana - 16 stundas.</w:t>
      </w:r>
    </w:p>
    <w:p w14:paraId="6BBEC15C"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5.5.3. Noguldījumu/ Ieguldījumu nosacījumu maiņa</w:t>
      </w:r>
    </w:p>
    <w:p w14:paraId="100CCE4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pieļauj noguldījuma produktu maiņu, procentu likmju izmaiņas, termiņa pagarinājumu ievadi.</w:t>
      </w:r>
    </w:p>
    <w:p w14:paraId="565223F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100 cilvēkstundas. Pielāgošana - 16 stundas.</w:t>
      </w:r>
    </w:p>
    <w:p w14:paraId="283B11C7"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5.5.4. Noguldāmo/ Ieguldāmo līdzekļu operācijas</w:t>
      </w:r>
    </w:p>
    <w:p w14:paraId="7D25BE9B"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pieļauj līdzekļu iemaksu/izmaksu gan skaidrā naudā gan ar pārkaistījumu un šo operāciju atspoguļošanu uzņēmuma/sabiedrības bilancē.</w:t>
      </w:r>
    </w:p>
    <w:p w14:paraId="2C0E2CCE"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100 cilvēkstundas. Pielāgošana - 16 stundas.</w:t>
      </w:r>
    </w:p>
    <w:p w14:paraId="36D9B546" w14:textId="77777777" w:rsidR="00553AF1" w:rsidRDefault="00A11AB4">
      <w:pPr>
        <w:spacing w:before="140" w:after="120" w:line="240" w:lineRule="auto"/>
        <w:jc w:val="both"/>
        <w:outlineLvl w:val="2"/>
      </w:pPr>
      <w:r>
        <w:rPr>
          <w:rFonts w:ascii="Times New Roman" w:eastAsia="Times New Roman" w:hAnsi="Times New Roman" w:cs="Times New Roman"/>
          <w:b/>
          <w:bCs/>
          <w:color w:val="000000"/>
          <w:sz w:val="28"/>
          <w:szCs w:val="28"/>
          <w:lang w:val="lv-LV" w:eastAsia="lv-LV"/>
        </w:rPr>
        <w:t>5.5.5. Darbs ar Čekiem</w:t>
      </w:r>
    </w:p>
    <w:p w14:paraId="590C217C"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Sistēmā darbs ar čekiem </w:t>
      </w:r>
      <w:r>
        <w:rPr>
          <w:rFonts w:ascii="Times New Roman" w:eastAsia="Times New Roman" w:hAnsi="Times New Roman" w:cs="Times New Roman"/>
          <w:b/>
          <w:bCs/>
          <w:color w:val="000000"/>
          <w:sz w:val="24"/>
          <w:szCs w:val="24"/>
          <w:lang w:val="lv-LV" w:eastAsia="lv-LV"/>
        </w:rPr>
        <w:t>nav iekļauts</w:t>
      </w:r>
      <w:r>
        <w:rPr>
          <w:rFonts w:ascii="Times New Roman" w:eastAsia="Times New Roman" w:hAnsi="Times New Roman" w:cs="Times New Roman"/>
          <w:color w:val="000000"/>
          <w:sz w:val="24"/>
          <w:szCs w:val="24"/>
          <w:lang w:val="lv-LV" w:eastAsia="lv-LV"/>
        </w:rPr>
        <w:t>. Čekus Latvijā un citur Eiropā izmanto maz, it īpaši personiskajās finansēs, bet tie ir svarīgs maksājumu līdzeklis ASV, Lielbritānijā un bijušajās britu kolonijās.</w:t>
      </w:r>
    </w:p>
    <w:p w14:paraId="416D70D5"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Ja nepieciešams, čeku apstrādi var uztaisīt, jo šīs transakcijas būtiski neatšķiras no citām. Ļoti rūpīgi jāapsver, vai ieguldītais darbs atmaksātos. Potenciālās izmaksas šādas funkcionalitātes izveidei - sākot no 220 cilvēkstundām, atkarībā no atbalstāmo darbību daudzveidības.</w:t>
      </w:r>
    </w:p>
    <w:p w14:paraId="1E8E6C9B" w14:textId="77777777" w:rsidR="00553AF1" w:rsidRDefault="00A11AB4">
      <w:pPr>
        <w:spacing w:after="140" w:line="240" w:lineRule="auto"/>
        <w:jc w:val="both"/>
        <w:rPr>
          <w:rFonts w:ascii="Times New Roman" w:eastAsia="Times New Roman" w:hAnsi="Times New Roman" w:cs="Times New Roman"/>
          <w:b/>
          <w:bCs/>
          <w:sz w:val="32"/>
          <w:szCs w:val="32"/>
          <w:lang w:val="lv-LV" w:eastAsia="lv-LV"/>
        </w:rPr>
      </w:pPr>
      <w:r>
        <w:rPr>
          <w:rFonts w:ascii="Times New Roman" w:eastAsia="Times New Roman" w:hAnsi="Times New Roman" w:cs="Times New Roman"/>
          <w:b/>
          <w:bCs/>
          <w:color w:val="000000"/>
          <w:sz w:val="32"/>
          <w:szCs w:val="32"/>
          <w:lang w:val="lv-LV" w:eastAsia="lv-LV"/>
        </w:rPr>
        <w:t>5.6. Atskaites</w:t>
      </w:r>
    </w:p>
    <w:p w14:paraId="58E925E3"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lastRenderedPageBreak/>
        <w:t>Sistēmā testētas sekojošas atskaites:</w:t>
      </w:r>
    </w:p>
    <w:p w14:paraId="035F5C6C"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5.6.1. Kredīti sadalījumā pēc termiņiem, nodrošinājumiem, mērķiem, procentu likmēm, kredītu atlikumiem, pēc klientiem</w:t>
      </w:r>
    </w:p>
    <w:p w14:paraId="7C693E5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daļēji nodrošina atskaišu definēšanas iespējas pēc minētajiem parametriem.</w:t>
      </w:r>
    </w:p>
    <w:p w14:paraId="6C8AC9FB"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5.6.2. Noguldījumi/ ieguldījumi sadalījumā pēc termiņiem, nodrošinājumiem, mērķiem, procentu likmēm,  atlikumiem, pēc klientiem</w:t>
      </w:r>
    </w:p>
    <w:p w14:paraId="23738B9C"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daļēji nodrošina atskaišu definēšanas iespējas pēc šiem parametriem</w:t>
      </w:r>
    </w:p>
    <w:p w14:paraId="22BFA907" w14:textId="77777777" w:rsidR="00553AF1" w:rsidRDefault="00A11AB4">
      <w:pPr>
        <w:spacing w:after="14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Ievērojot, ka atskaites par augstākminētajiem datiem ir pieejamas daļēji, tad jāplāno, ka katras jaunas atskaites sagatavošana aizņem vismaz 16 cilvēkstundas. Esošo pielāgošana - apmēram 3 stundas katrai.</w:t>
      </w:r>
    </w:p>
    <w:p w14:paraId="2DC444B7"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5.6.3. Kavēto kredītu atskaite, ar kavējuma perioda uzrādīšanu</w:t>
      </w:r>
    </w:p>
    <w:p w14:paraId="5D8CEBC8"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nodrošina kavēto kredītu atskaiti.</w:t>
      </w:r>
    </w:p>
    <w:p w14:paraId="023E468E" w14:textId="77777777" w:rsidR="00553AF1" w:rsidRDefault="00A11AB4">
      <w:pPr>
        <w:spacing w:before="140" w:after="120" w:line="240" w:lineRule="auto"/>
        <w:jc w:val="both"/>
        <w:outlineLvl w:val="2"/>
      </w:pPr>
      <w:r>
        <w:rPr>
          <w:rFonts w:ascii="Times New Roman" w:eastAsia="Times New Roman" w:hAnsi="Times New Roman" w:cs="Times New Roman"/>
          <w:b/>
          <w:bCs/>
          <w:color w:val="000000"/>
          <w:sz w:val="28"/>
          <w:szCs w:val="28"/>
          <w:lang w:val="lv-LV" w:eastAsia="lv-LV"/>
        </w:rPr>
        <w:t>5.6.4. Atskaišu datu migrācija  uz partneru datu bāzēm</w:t>
      </w:r>
    </w:p>
    <w:p w14:paraId="2A256278"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Sistēma nenodrošina Atskaišu datu migrāciju  uz partneru datu bāzēm t.i. uz VID, FKTK, LB kredītu reģistru, KIB uz citiem nebanku kredītu reģistriem, jo šiem reģistriem informācija jāsniedz tādā formā, kādu nosaka Latvijas likumdošana. Citās valstīs ir citas formas. Fineract API nodrošina šīs informācija ieguvi no datu bāzes, tomēr tās pārveidi reģistriem nepieciešamajā formātā būs jāveido no jauna.</w:t>
      </w:r>
    </w:p>
    <w:p w14:paraId="773F67DD"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vismaz 40 cilvēkstundas katram reģistram. Esošās sistēmas pielāgošana nav pieejama.</w:t>
      </w:r>
    </w:p>
    <w:p w14:paraId="56808B0F" w14:textId="77777777" w:rsidR="00553AF1" w:rsidRDefault="00A11AB4">
      <w:pPr>
        <w:spacing w:after="140" w:line="240" w:lineRule="auto"/>
        <w:jc w:val="both"/>
        <w:rPr>
          <w:rFonts w:ascii="Times New Roman" w:eastAsia="Times New Roman" w:hAnsi="Times New Roman" w:cs="Times New Roman"/>
          <w:b/>
          <w:bCs/>
          <w:sz w:val="36"/>
          <w:szCs w:val="36"/>
          <w:lang w:val="lv-LV" w:eastAsia="lv-LV"/>
        </w:rPr>
      </w:pPr>
      <w:r>
        <w:rPr>
          <w:rFonts w:ascii="Times New Roman" w:eastAsia="Times New Roman" w:hAnsi="Times New Roman" w:cs="Times New Roman"/>
          <w:b/>
          <w:bCs/>
          <w:color w:val="000000"/>
          <w:sz w:val="32"/>
          <w:szCs w:val="32"/>
          <w:lang w:val="lv-LV" w:eastAsia="lv-LV"/>
        </w:rPr>
        <w:t>5.7. Saziņa ar biedriem/klientiem</w:t>
      </w:r>
    </w:p>
    <w:p w14:paraId="1C63AF5E"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5.7.1. SMS (Īsziņas uz telefonu)</w:t>
      </w:r>
    </w:p>
    <w:p w14:paraId="374B78B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Funkcionālā prasība: atgādinājuma e-pasts, sms klientam par kavētu kredīta maksājumu/tuvojošos noguldījuma/ieguldījuma beigu termiņu.</w:t>
      </w:r>
    </w:p>
    <w:p w14:paraId="6563274C" w14:textId="77777777" w:rsidR="00553AF1" w:rsidRDefault="00A11AB4">
      <w:pPr>
        <w:spacing w:after="140" w:line="240" w:lineRule="auto"/>
        <w:ind w:firstLine="567"/>
        <w:jc w:val="both"/>
      </w:pPr>
      <w:r>
        <w:rPr>
          <w:rFonts w:ascii="Times New Roman" w:eastAsia="Times New Roman" w:hAnsi="Times New Roman" w:cs="Times New Roman"/>
          <w:i/>
          <w:iCs/>
          <w:color w:val="000000"/>
          <w:sz w:val="24"/>
          <w:szCs w:val="24"/>
          <w:lang w:val="lv-LV" w:eastAsia="lv-LV"/>
        </w:rPr>
        <w:t>MifosX/Fineract</w:t>
      </w:r>
      <w:r>
        <w:rPr>
          <w:rFonts w:ascii="Times New Roman" w:eastAsia="Times New Roman" w:hAnsi="Times New Roman" w:cs="Times New Roman"/>
          <w:color w:val="000000"/>
          <w:sz w:val="24"/>
          <w:szCs w:val="24"/>
          <w:lang w:val="lv-LV" w:eastAsia="lv-LV"/>
        </w:rPr>
        <w:t xml:space="preserve"> ir iebūvēta reakcija uz notikumiem: pie noteiktiem apstākļiem tiek ģenerēts notikums, ko var programmatiski apstrādāt. Uz šīs pamatnes var veidot integrāciju ar citām sistēmām, tajā skaitā tādām, kas sūta īsziņas. Pašlaik ir pieejams modulis, kas savienojas ar Twilio īsziņu sūtīšanas pakalpojumu, apraksts par notikumu izmantošanu: </w:t>
      </w:r>
      <w:hyperlink r:id="rId39">
        <w:r>
          <w:rPr>
            <w:rFonts w:ascii="Times New Roman" w:eastAsia="Times New Roman" w:hAnsi="Times New Roman" w:cs="Times New Roman"/>
            <w:color w:val="1155CC"/>
            <w:sz w:val="24"/>
            <w:szCs w:val="24"/>
            <w:u w:val="single"/>
            <w:lang w:val="lv-LV" w:eastAsia="lv-LV"/>
          </w:rPr>
          <w:t>https://mifosforge.jira.com/wiki/spaces/docs/pages/82706605/Manage+Hooks</w:t>
        </w:r>
      </w:hyperlink>
      <w:r>
        <w:rPr>
          <w:rFonts w:ascii="Times New Roman" w:eastAsia="Times New Roman" w:hAnsi="Times New Roman" w:cs="Times New Roman"/>
          <w:color w:val="000000"/>
          <w:sz w:val="24"/>
          <w:szCs w:val="24"/>
          <w:lang w:val="lv-LV" w:eastAsia="lv-LV"/>
        </w:rPr>
        <w:t>. Arī Latvijā ir vairāki uzņēmumi, kas piedāvā īsziņu un e-pastu sūtīšanas pakalpojumus.</w:t>
      </w:r>
    </w:p>
    <w:p w14:paraId="27E78380"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Līdzīgā veidā iespējams izveidot e-pasta vēstuli kā reakciju un noteikta veida notikumu.</w:t>
      </w:r>
    </w:p>
    <w:p w14:paraId="77AC86C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120 cilvēkstundas. Esošās sistēmas pielāgošana - 80 cilvēkstundas, jo daudz jātaisa no jauna.</w:t>
      </w:r>
    </w:p>
    <w:p w14:paraId="30BAC8B3"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5.7.2. Mājaslapa</w:t>
      </w:r>
    </w:p>
    <w:p w14:paraId="08B23733"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Sabiedrības mājas lapas izstrāde, savienojama, ar izstrādāto/pielāgoto programmu ar iespēju Klientam reģistrēties tajā, pieteikties kredītam (ar identifikāciju), apskatīt esošo kredītu/noguldījumu/ieguldījumu informāciju.</w:t>
      </w:r>
    </w:p>
    <w:p w14:paraId="37FC4D89"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lastRenderedPageBreak/>
        <w:t>Kredītu/noguldījumu/ieguldījumu līgumu integrācija programmā un to ģenerēšana/drukāšana no programmas.</w:t>
      </w:r>
    </w:p>
    <w:p w14:paraId="65374879"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160 cilvēkstundas. Esošās sistēmas pielāgošana nav attiecināma, jo viss jātaisa no jauna.</w:t>
      </w:r>
    </w:p>
    <w:p w14:paraId="14E443A5" w14:textId="77777777" w:rsidR="00553AF1" w:rsidRDefault="00A11AB4">
      <w:pPr>
        <w:spacing w:after="140" w:line="240" w:lineRule="auto"/>
        <w:rPr>
          <w:rFonts w:ascii="Times New Roman" w:eastAsia="Times New Roman" w:hAnsi="Times New Roman" w:cs="Times New Roman"/>
          <w:b/>
          <w:bCs/>
          <w:color w:val="000000"/>
          <w:sz w:val="28"/>
          <w:szCs w:val="28"/>
          <w:lang w:val="lv-LV" w:eastAsia="lv-LV"/>
        </w:rPr>
      </w:pPr>
      <w:r>
        <w:rPr>
          <w:rFonts w:ascii="Times New Roman" w:eastAsia="Times New Roman" w:hAnsi="Times New Roman" w:cs="Times New Roman"/>
          <w:b/>
          <w:bCs/>
          <w:color w:val="000000"/>
          <w:sz w:val="28"/>
          <w:szCs w:val="28"/>
          <w:lang w:val="lv-LV" w:eastAsia="lv-LV"/>
        </w:rPr>
        <w:t>5.7.3. Līgumu integrācija sistēmā</w:t>
      </w:r>
    </w:p>
    <w:p w14:paraId="1403C3D2" w14:textId="77777777" w:rsidR="00553AF1" w:rsidRDefault="00A11AB4">
      <w:pPr>
        <w:spacing w:after="140" w:line="240" w:lineRule="auto"/>
        <w:ind w:firstLine="720"/>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Sistēma neparedz Kredītu/noguldījumu/ieguldījumu līgumu integrāciju programmā un to ģenerēšana/drukāšana no programmas.</w:t>
      </w:r>
    </w:p>
    <w:p w14:paraId="6F7C0F93"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Darba patēriņš, ja šajā nodaļā aprakstītā funkcionalitāte jāveido no jauna: 900 cilvēkstundas. Esošās sistēmas pielāgošana - 900 cilvēkstundas, jo jātaisa no jauna.</w:t>
      </w:r>
    </w:p>
    <w:p w14:paraId="056E74C4" w14:textId="77777777" w:rsidR="00553AF1" w:rsidRDefault="00A11AB4">
      <w:pPr>
        <w:spacing w:after="140" w:line="240" w:lineRule="auto"/>
        <w:jc w:val="both"/>
        <w:rPr>
          <w:rFonts w:ascii="Times New Roman" w:eastAsia="Times New Roman" w:hAnsi="Times New Roman" w:cs="Times New Roman"/>
          <w:color w:val="000000"/>
          <w:sz w:val="32"/>
          <w:szCs w:val="32"/>
          <w:lang w:val="lv-LV" w:eastAsia="lv-LV"/>
        </w:rPr>
      </w:pPr>
      <w:r>
        <w:rPr>
          <w:rFonts w:ascii="Times New Roman" w:eastAsia="Times New Roman" w:hAnsi="Times New Roman" w:cs="Times New Roman"/>
          <w:b/>
          <w:bCs/>
          <w:color w:val="000000"/>
          <w:sz w:val="32"/>
          <w:szCs w:val="32"/>
          <w:lang w:val="lv-LV" w:eastAsia="lv-LV"/>
        </w:rPr>
        <w:t>5.8. Drošība un savietojamība</w:t>
      </w:r>
    </w:p>
    <w:p w14:paraId="79822824" w14:textId="77777777" w:rsidR="00553AF1" w:rsidRDefault="00A11AB4">
      <w:pPr>
        <w:spacing w:before="140" w:after="120" w:line="240" w:lineRule="auto"/>
        <w:jc w:val="both"/>
        <w:outlineLvl w:val="2"/>
        <w:rPr>
          <w:rFonts w:ascii="Times New Roman" w:eastAsia="Times New Roman" w:hAnsi="Times New Roman" w:cs="Times New Roman"/>
          <w:b/>
          <w:bCs/>
          <w:sz w:val="28"/>
          <w:szCs w:val="28"/>
          <w:lang w:val="lv-LV" w:eastAsia="lv-LV"/>
        </w:rPr>
      </w:pPr>
      <w:r>
        <w:rPr>
          <w:rFonts w:ascii="Times New Roman" w:eastAsia="Times New Roman" w:hAnsi="Times New Roman" w:cs="Times New Roman"/>
          <w:b/>
          <w:bCs/>
          <w:color w:val="000000"/>
          <w:sz w:val="28"/>
          <w:szCs w:val="28"/>
          <w:lang w:val="lv-LV" w:eastAsia="lv-LV"/>
        </w:rPr>
        <w:t>5.8.1. Programmas drošība, savietojamība ar dažādām operētājsistēmām, programmatūras drošība</w:t>
      </w:r>
    </w:p>
    <w:p w14:paraId="114ADBF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color w:val="000000"/>
          <w:sz w:val="24"/>
          <w:szCs w:val="24"/>
          <w:lang w:val="lv-LV" w:eastAsia="lv-LV"/>
        </w:rPr>
        <w:t>Fineract/MifosX</w:t>
      </w:r>
      <w:r>
        <w:rPr>
          <w:rFonts w:ascii="Times New Roman" w:eastAsia="Times New Roman" w:hAnsi="Times New Roman" w:cs="Times New Roman"/>
          <w:color w:val="000000"/>
          <w:sz w:val="24"/>
          <w:szCs w:val="24"/>
          <w:lang w:val="lv-LV" w:eastAsia="lv-LV"/>
        </w:rPr>
        <w:t xml:space="preserve"> darbojas pēc klienta-servera principa. Fineract ir servera daļa, Mifos Community App - klients, pie kam “plānais klients” - gandrīz visa loģika atrodas servera daļā, un lietotāja interfeisa darbību nodrošina interneta pārlūks.</w:t>
      </w:r>
    </w:p>
    <w:p w14:paraId="7FE5B2B3"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Servera daļa darboja uz visām operētājsistēmām, uz kurām var palaist MySQL vai radniecīgo MariaDB datu bāzes dzinēju un kuras atbalsta Java virtuālo mašīnu (pats Fineract un Tomcat tīkla serveris darbojas uz Java virtuālās mašīnas). Praksē tas nozīmē Windows vai Linux/Unix saimes operētājsistēmas, tajā skaitā Apple IOS. Ir arī Docker konteineri (</w:t>
      </w:r>
      <w:hyperlink r:id="rId40">
        <w:r>
          <w:rPr>
            <w:rFonts w:ascii="Times New Roman" w:eastAsia="Times New Roman" w:hAnsi="Times New Roman" w:cs="Times New Roman"/>
            <w:color w:val="1155CC"/>
            <w:sz w:val="24"/>
            <w:szCs w:val="24"/>
            <w:u w:val="single"/>
            <w:lang w:val="lv-LV" w:eastAsia="lv-LV"/>
          </w:rPr>
          <w:t>https://hub.docker.com/r/apache/fineract</w:t>
        </w:r>
      </w:hyperlink>
      <w:r>
        <w:rPr>
          <w:rFonts w:ascii="Times New Roman" w:eastAsia="Times New Roman" w:hAnsi="Times New Roman" w:cs="Times New Roman"/>
          <w:color w:val="000000"/>
          <w:sz w:val="24"/>
          <w:szCs w:val="24"/>
          <w:lang w:val="lv-LV" w:eastAsia="lv-LV"/>
        </w:rPr>
        <w:t>). Līdz ar to iespējama darbināšana arī mākoņservisos.</w:t>
      </w:r>
    </w:p>
    <w:p w14:paraId="2A0575A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Klienta puse var darboties gan uz tās pašas mašīnas, kur uzinstalēts Fineract kodols, gan arī attālināti, uz darba stacijām, kas slēdzas klāt kodolam caur internetu. Windows bāzēti klienti var bez problēmām izmantot Fineract, kas darbojas uz Linux servera vai otrādi.</w:t>
      </w:r>
    </w:p>
    <w:p w14:paraId="2E7FBF5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Pamatinformācija par Fineract drošību iegūta no CVE (</w:t>
      </w:r>
      <w:r>
        <w:rPr>
          <w:rFonts w:ascii="Times New Roman" w:eastAsia="Times New Roman" w:hAnsi="Times New Roman" w:cs="Times New Roman"/>
          <w:i/>
          <w:iCs/>
          <w:color w:val="000000"/>
          <w:sz w:val="24"/>
          <w:szCs w:val="24"/>
          <w:lang w:val="lv-LV" w:eastAsia="lv-LV"/>
        </w:rPr>
        <w:t>Common Vulnerabilities and Exposures</w:t>
      </w:r>
      <w:r>
        <w:rPr>
          <w:rFonts w:ascii="Times New Roman" w:eastAsia="Times New Roman" w:hAnsi="Times New Roman" w:cs="Times New Roman"/>
          <w:color w:val="000000"/>
          <w:sz w:val="24"/>
          <w:szCs w:val="24"/>
          <w:lang w:val="lv-LV" w:eastAsia="lv-LV"/>
        </w:rPr>
        <w:t>) vietnes. CVE ir starptautiska organizācija, dibināta ar mērķi standartizēt ziņojumus par drošības problēmām. Galvenie sponsori ir ASV drošības dienesti, ASV jūras kara flote un vairāki valsts departamenti.</w:t>
      </w:r>
    </w:p>
    <w:p w14:paraId="75DB67FB"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Saskaņā ar CVE, Fineract pastāvēšanas vēsturē ir bijušas pavisam kopā deviņas drošības problēmas (</w:t>
      </w:r>
      <w:hyperlink r:id="rId41">
        <w:r>
          <w:rPr>
            <w:rFonts w:ascii="Times New Roman" w:eastAsia="Times New Roman" w:hAnsi="Times New Roman" w:cs="Times New Roman"/>
            <w:color w:val="1155CC"/>
            <w:sz w:val="24"/>
            <w:szCs w:val="24"/>
            <w:u w:val="single"/>
            <w:lang w:val="lv-LV" w:eastAsia="lv-LV"/>
          </w:rPr>
          <w:t>https://cve.mitre.org/cgi-bin/cvekey.cgi?keyword=Fineract</w:t>
        </w:r>
      </w:hyperlink>
      <w:r>
        <w:rPr>
          <w:rFonts w:ascii="Times New Roman" w:eastAsia="Times New Roman" w:hAnsi="Times New Roman" w:cs="Times New Roman"/>
          <w:color w:val="000000"/>
          <w:sz w:val="24"/>
          <w:szCs w:val="24"/>
          <w:lang w:val="lv-LV" w:eastAsia="lv-LV"/>
        </w:rPr>
        <w:t>). MifosX nav reģistrēta neviena problēma.</w:t>
      </w:r>
    </w:p>
    <w:p w14:paraId="7D30F50D"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Salīdzinājumam: Microsoft Edge interneta pārlūkam reģistrētas 636 problēmas, Adobe Acrobat Reader - 1747 problēmas, Mozilla Firefox interneta pārlūkam - 1526 problēmas. Kopumā var uzskatīt, ka drošība ir pietiekoša.</w:t>
      </w:r>
    </w:p>
    <w:p w14:paraId="5A35F114" w14:textId="77777777" w:rsidR="00553AF1" w:rsidRDefault="00A11AB4">
      <w:pPr>
        <w:spacing w:after="140" w:line="240" w:lineRule="auto"/>
        <w:ind w:firstLine="567"/>
        <w:jc w:val="both"/>
      </w:pPr>
      <w:r>
        <w:rPr>
          <w:rFonts w:ascii="Times New Roman" w:eastAsia="Times New Roman" w:hAnsi="Times New Roman" w:cs="Times New Roman"/>
          <w:i/>
          <w:iCs/>
          <w:color w:val="000000"/>
          <w:sz w:val="24"/>
          <w:szCs w:val="24"/>
          <w:lang w:val="lv-LV" w:eastAsia="lv-LV"/>
        </w:rPr>
        <w:t>Fineract/MifosX</w:t>
      </w:r>
      <w:r>
        <w:rPr>
          <w:rFonts w:ascii="Times New Roman" w:eastAsia="Times New Roman" w:hAnsi="Times New Roman" w:cs="Times New Roman"/>
          <w:color w:val="000000"/>
          <w:sz w:val="24"/>
          <w:szCs w:val="24"/>
          <w:lang w:val="lv-LV" w:eastAsia="lv-LV"/>
        </w:rPr>
        <w:t xml:space="preserve"> ir arī Android klients, ko var lejuielādēt instalēšanai no Google Play veikala (</w:t>
      </w:r>
      <w:hyperlink r:id="rId42">
        <w:r>
          <w:rPr>
            <w:rFonts w:ascii="Times New Roman" w:eastAsia="Times New Roman" w:hAnsi="Times New Roman" w:cs="Times New Roman"/>
            <w:color w:val="1155CC"/>
            <w:sz w:val="24"/>
            <w:szCs w:val="24"/>
            <w:u w:val="single"/>
            <w:lang w:val="lv-LV" w:eastAsia="lv-LV"/>
          </w:rPr>
          <w:t>https://play.google.com/store/apps/details?id=com.mifos.mifosxdroid</w:t>
        </w:r>
      </w:hyperlink>
      <w:r>
        <w:rPr>
          <w:rFonts w:ascii="Times New Roman" w:eastAsia="Times New Roman" w:hAnsi="Times New Roman" w:cs="Times New Roman"/>
          <w:color w:val="000000"/>
          <w:sz w:val="24"/>
          <w:szCs w:val="24"/>
          <w:lang w:val="lv-LV" w:eastAsia="lv-LV"/>
        </w:rPr>
        <w:t xml:space="preserve">), izejas kods pieejams </w:t>
      </w:r>
      <w:hyperlink r:id="rId43">
        <w:r>
          <w:rPr>
            <w:rFonts w:ascii="Times New Roman" w:eastAsia="Times New Roman" w:hAnsi="Times New Roman" w:cs="Times New Roman"/>
            <w:color w:val="1155CC"/>
            <w:sz w:val="24"/>
            <w:szCs w:val="24"/>
            <w:u w:val="single"/>
            <w:lang w:val="lv-LV" w:eastAsia="lv-LV"/>
          </w:rPr>
          <w:t>https://github.com/openMF/android-client</w:t>
        </w:r>
      </w:hyperlink>
      <w:r>
        <w:rPr>
          <w:rFonts w:ascii="Times New Roman" w:eastAsia="Times New Roman" w:hAnsi="Times New Roman" w:cs="Times New Roman"/>
          <w:color w:val="000000"/>
          <w:sz w:val="24"/>
          <w:szCs w:val="24"/>
          <w:lang w:val="lv-LV" w:eastAsia="lv-LV"/>
        </w:rPr>
        <w:t xml:space="preserve">. Aktīva izstrāde notika 2013-2017 gados, pašlaik tikai tiek labotas kļūdas. Šo produktu var izmantot, ja ir vēlēšanās uzlabot vai pielāgot Android klientu konkrētas organizācijas vajadzībām. Ir arī cita veida iestrādes, sīkāka infromācija pieejama </w:t>
      </w:r>
      <w:hyperlink r:id="rId44">
        <w:r>
          <w:rPr>
            <w:rFonts w:ascii="Times New Roman" w:eastAsia="Times New Roman" w:hAnsi="Times New Roman" w:cs="Times New Roman"/>
            <w:color w:val="1155CC"/>
            <w:sz w:val="24"/>
            <w:szCs w:val="24"/>
            <w:u w:val="single"/>
            <w:lang w:val="lv-LV" w:eastAsia="lv-LV"/>
          </w:rPr>
          <w:t>https://openmf.github.io/mobileapps.github.io/</w:t>
        </w:r>
      </w:hyperlink>
      <w:r>
        <w:rPr>
          <w:rFonts w:ascii="Times New Roman" w:eastAsia="Times New Roman" w:hAnsi="Times New Roman" w:cs="Times New Roman"/>
          <w:color w:val="000000"/>
          <w:sz w:val="24"/>
          <w:szCs w:val="24"/>
          <w:lang w:val="lv-LV" w:eastAsia="lv-LV"/>
        </w:rPr>
        <w:t>.</w:t>
      </w:r>
    </w:p>
    <w:p w14:paraId="626E61C2"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lastRenderedPageBreak/>
        <w:t>Drošības testēšana un labojumi, ja funkcionalitāte jāveido no jauna, aizņems vismaz 3 cilvēkmēnešus (480 cilvēkstundas). Esošās sistēmas pielāgošana laiku praktiski nepaņems, ja tā tiks izmantota atbilstoši labas drošības pieņemtajai praksei.</w:t>
      </w:r>
    </w:p>
    <w:p w14:paraId="3FA932FB"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5.8.2. Programmatūras testēšana: Sabiedrības līmenis, Klienta profila līmenis</w:t>
      </w:r>
    </w:p>
    <w:p w14:paraId="5915A96A"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Lietotāja līmeņa testēšana un lietojamības testi kopā aizņems ne mazāk kā 2 cilvēknedēļas (80 cilvēkstundas), pēc tam vēl vismaz divrez vairāk (180 cilvēkstundas) - atklāto defektu labošana. Ja esošā sistēma jāveido no jauna, šis process ir proporcionāls izstrādē ieguldītajam darba apjomam: parasti uz katriem diviem programmētājiem tiek nodarbināts 1 testētājs, kas vai nu testē, vai izstrādā automatizētos testus.</w:t>
      </w:r>
    </w:p>
    <w:p w14:paraId="2F11265E"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Darba patēriņš, šajā nodaļā aprakstītās funkcionalitāte testēšanai defektu labošanai: 260 cilvēkstundas. Esošās sistēmas pielāgošana - 260 cilvēkstundas, jo daudz jātaisa no jauna.</w:t>
      </w:r>
    </w:p>
    <w:p w14:paraId="3FF9BC57" w14:textId="77777777" w:rsidR="00553AF1" w:rsidRDefault="00A11AB4">
      <w:pPr>
        <w:spacing w:after="140"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b/>
          <w:bCs/>
          <w:color w:val="000000"/>
          <w:sz w:val="32"/>
          <w:szCs w:val="32"/>
          <w:lang w:val="lv-LV" w:eastAsia="lv-LV"/>
        </w:rPr>
        <w:t>5.9. Atbalsts, rokasgrāmatas</w:t>
      </w:r>
    </w:p>
    <w:p w14:paraId="6ABB276D"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 xml:space="preserve">Dokumentācija lietotājiem, tai skaitā par instalēšanu un administrēšanu,  atrodama </w:t>
      </w:r>
      <w:hyperlink r:id="rId45">
        <w:r>
          <w:rPr>
            <w:rFonts w:ascii="Times New Roman" w:eastAsia="Times New Roman" w:hAnsi="Times New Roman" w:cs="Times New Roman"/>
            <w:color w:val="1155CC"/>
            <w:sz w:val="24"/>
            <w:szCs w:val="24"/>
            <w:u w:val="single"/>
            <w:lang w:val="lv-LV" w:eastAsia="lv-LV"/>
          </w:rPr>
          <w:t>https://mifosforge.jira.com/wiki/spaces/docs/overview?homepageId=9830825</w:t>
        </w:r>
      </w:hyperlink>
      <w:r>
        <w:rPr>
          <w:rFonts w:ascii="Times New Roman" w:eastAsia="Times New Roman" w:hAnsi="Times New Roman" w:cs="Times New Roman"/>
          <w:color w:val="000000"/>
          <w:sz w:val="24"/>
          <w:szCs w:val="24"/>
          <w:lang w:val="lv-LV" w:eastAsia="lv-LV"/>
        </w:rPr>
        <w:t xml:space="preserve"> (viss angļu valodā).</w:t>
      </w:r>
    </w:p>
    <w:p w14:paraId="28E467ED" w14:textId="77777777" w:rsidR="00553AF1" w:rsidRDefault="00A11AB4">
      <w:pPr>
        <w:spacing w:after="140" w:line="240" w:lineRule="auto"/>
        <w:ind w:firstLine="720"/>
        <w:jc w:val="both"/>
      </w:pPr>
      <w:r>
        <w:rPr>
          <w:rFonts w:ascii="Times New Roman" w:eastAsia="Times New Roman" w:hAnsi="Times New Roman" w:cs="Times New Roman"/>
          <w:color w:val="000000"/>
          <w:sz w:val="24"/>
          <w:szCs w:val="24"/>
          <w:lang w:val="lv-LV" w:eastAsia="lv-LV"/>
        </w:rPr>
        <w:t xml:space="preserve">Lietotāju un izstrādātāju atbalsts pieejams, neformāli kontaktējoties ar izstrādātājiem vai sistēmas lietotājiem visā pasaulē. Viena no kopienām ar 14 lietotāju grupām, no kurām lielākā ir Mifos lietotāji ar apmēram 1500 dalībniekiem, pieejama adresē </w:t>
      </w:r>
      <w:hyperlink r:id="rId46">
        <w:r>
          <w:rPr>
            <w:rFonts w:ascii="Times New Roman" w:eastAsia="Times New Roman" w:hAnsi="Times New Roman" w:cs="Times New Roman"/>
            <w:color w:val="1155CC"/>
            <w:sz w:val="24"/>
            <w:szCs w:val="24"/>
            <w:u w:val="single"/>
            <w:lang w:val="lv-LV" w:eastAsia="lv-LV"/>
          </w:rPr>
          <w:t>https://gitter.im/openMF/home</w:t>
        </w:r>
      </w:hyperlink>
      <w:r>
        <w:rPr>
          <w:rFonts w:ascii="Times New Roman" w:eastAsia="Times New Roman" w:hAnsi="Times New Roman" w:cs="Times New Roman"/>
          <w:color w:val="000000"/>
          <w:sz w:val="24"/>
          <w:szCs w:val="24"/>
          <w:lang w:val="lv-LV" w:eastAsia="lv-LV"/>
        </w:rPr>
        <w:t>, kur var brīvi pieteikties un piedalīties diskusijās par lietošanu, tai skaitā uzdot jautājumus. Darba valoda angļu.</w:t>
      </w:r>
    </w:p>
    <w:p w14:paraId="5D73B514"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Darba patēriņš, ja šajā nodaļā aprakstītā funkcionalitāte jāveido no jauna: 300 cilvēkstundas. Esošās sistēmas rokasgrāmatas pielāgošana (t.sk. tulkošana) - 100 cilvēkstundas, jo daudz jātaisa no jauna.</w:t>
      </w:r>
    </w:p>
    <w:p w14:paraId="3AF6B322" w14:textId="77777777" w:rsidR="00553AF1" w:rsidRDefault="00A11AB4">
      <w:pPr>
        <w:spacing w:after="140"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b/>
          <w:bCs/>
          <w:color w:val="000000"/>
          <w:sz w:val="32"/>
          <w:szCs w:val="32"/>
          <w:lang w:val="lv-LV" w:eastAsia="lv-LV"/>
        </w:rPr>
        <w:t>5.10. Atbilstība regulatoru prasībām</w:t>
      </w:r>
    </w:p>
    <w:p w14:paraId="2542E44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Programmatūras atbilstības nodrošināšana LR regulatoru un likumdošanas prasībām.</w:t>
      </w:r>
    </w:p>
    <w:p w14:paraId="123CA28F"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Atbilstība regulatoru prasībām iedalāma divās daļās:</w:t>
      </w:r>
    </w:p>
    <w:p w14:paraId="3B34F9DA"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5.10.1. Datu fiziskā drošība</w:t>
      </w:r>
    </w:p>
    <w:p w14:paraId="7A61F8FB"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 xml:space="preserve">Prasības definētas Informācijas tehnoloģiju un drošības risku pārvaldības normatīvajos noteikumos. Tālāk svarīgākie uz </w:t>
      </w:r>
      <w:r>
        <w:rPr>
          <w:rFonts w:ascii="Times New Roman" w:eastAsia="Times New Roman" w:hAnsi="Times New Roman" w:cs="Times New Roman"/>
          <w:i/>
          <w:iCs/>
          <w:color w:val="000000"/>
          <w:sz w:val="24"/>
          <w:szCs w:val="24"/>
          <w:lang w:val="lv-LV" w:eastAsia="lv-LV"/>
        </w:rPr>
        <w:t>MifosX/Fineract</w:t>
      </w:r>
      <w:r>
        <w:rPr>
          <w:rFonts w:ascii="Times New Roman" w:eastAsia="Times New Roman" w:hAnsi="Times New Roman" w:cs="Times New Roman"/>
          <w:color w:val="000000"/>
          <w:sz w:val="24"/>
          <w:szCs w:val="24"/>
          <w:lang w:val="lv-LV" w:eastAsia="lv-LV"/>
        </w:rPr>
        <w:t xml:space="preserve"> attiecināmie panti ar komentāriem.</w:t>
      </w:r>
    </w:p>
    <w:p w14:paraId="1B99BEC1" w14:textId="77777777" w:rsidR="00553AF1" w:rsidRDefault="00DE2540">
      <w:pPr>
        <w:spacing w:after="140" w:line="240" w:lineRule="auto"/>
        <w:jc w:val="both"/>
      </w:pPr>
      <w:hyperlink r:id="rId47">
        <w:r w:rsidR="00A11AB4">
          <w:rPr>
            <w:rFonts w:ascii="Times New Roman" w:eastAsia="Times New Roman" w:hAnsi="Times New Roman" w:cs="Times New Roman"/>
            <w:color w:val="1155CC"/>
            <w:sz w:val="24"/>
            <w:szCs w:val="24"/>
            <w:u w:val="single"/>
            <w:lang w:val="lv-LV" w:eastAsia="lv-LV"/>
          </w:rPr>
          <w:t>https://likumi.lv/ta/id/317384-informacijas-tehnologiju-un-drosibas-risku-parvaldibas-normativie-noteikumi</w:t>
        </w:r>
      </w:hyperlink>
      <w:r w:rsidR="00A11AB4">
        <w:rPr>
          <w:rFonts w:ascii="Times New Roman" w:eastAsia="Times New Roman" w:hAnsi="Times New Roman" w:cs="Times New Roman"/>
          <w:color w:val="000000"/>
          <w:sz w:val="24"/>
          <w:szCs w:val="24"/>
          <w:lang w:val="lv-LV" w:eastAsia="lv-LV"/>
        </w:rPr>
        <w:t>:</w:t>
      </w:r>
    </w:p>
    <w:p w14:paraId="7437B878"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sz w:val="24"/>
          <w:szCs w:val="24"/>
          <w:shd w:val="clear" w:color="auto" w:fill="FFFFFF"/>
          <w:lang w:val="lv-LV" w:eastAsia="lv-LV"/>
        </w:rPr>
        <w:t>73. Tirgus dalībnieks IT infrastruktūras iekārtas, t.sk. serverus, disku masīvus, datortīkla iekārtas u.c., ekspluatē ierobežotas pieejas telpās, kuru fiziskā aizsardzība nodrošina tikai pilnvarotu personu piekļuvi. Šo personu piekļuvi reģistrē.</w:t>
      </w:r>
    </w:p>
    <w:p w14:paraId="18ACC2F1"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sz w:val="24"/>
          <w:szCs w:val="24"/>
          <w:shd w:val="clear" w:color="auto" w:fill="FFFFFF"/>
          <w:lang w:val="lv-LV" w:eastAsia="lv-LV"/>
        </w:rPr>
        <w:t>35. Izmantojot ārpakalpojumus, t.sk. mākoņskaitļošanu, tirgus dalībniekam ir pienākums saglabāt nepieciešamo kontroli pār informācijas resursiem, kas satur informāciju par tirgus dalībnieka klientiem, t.sk. noteikt prasības attiecībā uz datu centru izvietojumu, datu šifrēšanu un drošības uzraudzību. Tirgus dalībnieka klasificētus informācijas resursus drošā veidā nošķir no citu klientu informācijas resursiem.</w:t>
      </w:r>
    </w:p>
    <w:p w14:paraId="36BF4808"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Atsevišķu tabulu šifrēšanu atbalsta pats MySQL datu bāzes dzinējs. Kā tas varētu darboties kopā ar MifosX/Fineract, pagaidām nav zināms.</w:t>
      </w:r>
    </w:p>
    <w:p w14:paraId="633B2263"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sz w:val="24"/>
          <w:szCs w:val="24"/>
          <w:shd w:val="clear" w:color="auto" w:fill="FFFFFF"/>
          <w:lang w:val="lv-LV" w:eastAsia="lv-LV"/>
        </w:rPr>
        <w:t>61. Autentifikācijas metodes ir samērīgas ar IT sistēmas, informācijas vai procesa kritiskumu un lietotāja privilēģijām. Lai nodrošinātu drošu saziņu un samazinātu risku, IT sistēmu administratoru attālinātai piekļuvei izmanto vismaz divu faktoru autentifikāciju un kriptogrāfijas līdzekļus, piemēram, virtuālo privāto tīklu (virtual private network – VPN).</w:t>
      </w:r>
    </w:p>
    <w:p w14:paraId="6EA314BE"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MifosX atbalsts divu faktoru autentifikāciju, sākot no 18. versijas. VPN iestatīšana ir paveicama, neiejaucoties Fineract/MifosX darbībā.</w:t>
      </w:r>
    </w:p>
    <w:p w14:paraId="015FA2A1"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sz w:val="24"/>
          <w:szCs w:val="24"/>
          <w:lang w:val="lv-LV" w:eastAsia="lv-LV"/>
        </w:rPr>
        <w:t>114. Lai identificētu lietotāju veiktās darbības un IT kļūdas, tirgus dalībnieks veido, glabā un analizē auditācijas pierakstus.</w:t>
      </w:r>
    </w:p>
    <w:p w14:paraId="4CEEB9A7"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sz w:val="24"/>
          <w:szCs w:val="24"/>
          <w:lang w:val="lv-LV" w:eastAsia="lv-LV"/>
        </w:rPr>
        <w:t>115. Auditācijas pierakstos tirgus dalībnieks iekļauj vismaz visu veiksmīgu un neveiksmīgu lietotāju pieslēgšanās gadījumu laiku un lietotāju kodus. Papildu auditācijas pierakstus veic par informācijas sistēmu parametru maiņu, t.sk. par darbībām ar lietotāju kontiem, ciktāl to var nodrošināt ar lietoto tehnoloģisko risinājumu. Pierakstos ietver darbību identificēšanai nepieciešamo informāciju tādā apmērā, kādā to var nodrošināt esošais tehnoloģiskais risinājums, t.sk. IP adresi, no kuras ir veikta darbība.</w:t>
      </w:r>
    </w:p>
    <w:p w14:paraId="7D551A3A"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Administrācijas panelī ir sadaļa </w:t>
      </w:r>
      <w:r>
        <w:rPr>
          <w:rFonts w:ascii="Times New Roman" w:eastAsia="Times New Roman" w:hAnsi="Times New Roman" w:cs="Times New Roman"/>
          <w:i/>
          <w:iCs/>
          <w:sz w:val="24"/>
          <w:szCs w:val="24"/>
          <w:lang w:val="lv-LV" w:eastAsia="lv-LV"/>
        </w:rPr>
        <w:t>System</w:t>
      </w:r>
      <w:r>
        <w:rPr>
          <w:rFonts w:ascii="Times New Roman" w:eastAsia="Times New Roman" w:hAnsi="Times New Roman" w:cs="Times New Roman"/>
          <w:sz w:val="24"/>
          <w:szCs w:val="24"/>
          <w:lang w:val="lv-LV" w:eastAsia="lv-LV"/>
        </w:rPr>
        <w:t xml:space="preserve">, tajā ir </w:t>
      </w:r>
      <w:r>
        <w:rPr>
          <w:rFonts w:ascii="Times New Roman" w:eastAsia="Times New Roman" w:hAnsi="Times New Roman" w:cs="Times New Roman"/>
          <w:i/>
          <w:iCs/>
          <w:sz w:val="24"/>
          <w:szCs w:val="24"/>
          <w:lang w:val="lv-LV" w:eastAsia="lv-LV"/>
        </w:rPr>
        <w:t>Audit trail</w:t>
      </w:r>
      <w:r>
        <w:rPr>
          <w:rFonts w:ascii="Times New Roman" w:eastAsia="Times New Roman" w:hAnsi="Times New Roman" w:cs="Times New Roman"/>
          <w:sz w:val="24"/>
          <w:szCs w:val="24"/>
          <w:lang w:val="lv-LV" w:eastAsia="lv-LV"/>
        </w:rPr>
        <w:t>, un tur redzams audita žurnāls - visu lietotāju veikto darbību saraksts. Žurnāla ierakstus var eksportēt CSV formātā glabāšanai un analīzei citās sistēmās.</w:t>
      </w:r>
    </w:p>
    <w:p w14:paraId="44DC1137" w14:textId="77777777" w:rsidR="00553AF1" w:rsidRDefault="00A11AB4">
      <w:pPr>
        <w:spacing w:after="14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
          <w:iCs/>
          <w:sz w:val="24"/>
          <w:szCs w:val="24"/>
          <w:shd w:val="clear" w:color="auto" w:fill="FFFFFF"/>
          <w:lang w:val="lv-LV" w:eastAsia="lv-LV"/>
        </w:rPr>
        <w:t>120. Tirgus dalībnieks nosaka un ievieš datu un IT sistēmu rezerves kopēšanas un atjaunošanas procedūras sistēmu darbības atjaunošanai nepieciešamības gadījumā. Datu rezerves kopēšanas apjomu un biežumu nosaka atbilstoši biznesa atjaunošanas prasībām, datu un IT sistēmu kritiskajam svarīgumam un risku novērtējumam. Regulāri pārbauda, vai, izmantojot rezerves kopijas, ir iespējams atjaunot sistēmu darbību.</w:t>
      </w:r>
    </w:p>
    <w:p w14:paraId="498D456B"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Rezerves kopiju veidošanu nodrošina ar MySQL datu bāzes dzinēja rīkiem. Sīkāk aprakstīts šeit:</w:t>
      </w:r>
    </w:p>
    <w:p w14:paraId="4BACFCED" w14:textId="77777777" w:rsidR="00553AF1" w:rsidRDefault="00DE2540">
      <w:pPr>
        <w:spacing w:after="140" w:line="240" w:lineRule="auto"/>
        <w:jc w:val="both"/>
      </w:pPr>
      <w:hyperlink r:id="rId48">
        <w:r w:rsidR="00A11AB4">
          <w:rPr>
            <w:rFonts w:ascii="Times New Roman" w:eastAsia="Times New Roman" w:hAnsi="Times New Roman" w:cs="Times New Roman"/>
            <w:color w:val="1155CC"/>
            <w:sz w:val="24"/>
            <w:szCs w:val="24"/>
            <w:u w:val="single"/>
            <w:lang w:val="lv-LV" w:eastAsia="lv-LV"/>
          </w:rPr>
          <w:t>https://mifosforge.jira.com/wiki/spaces/docs/pages/98107409/Mifos+X+Database+Backup+and+Restore</w:t>
        </w:r>
      </w:hyperlink>
    </w:p>
    <w:p w14:paraId="466FEEE2" w14:textId="77777777" w:rsidR="00553AF1" w:rsidRDefault="00A11AB4">
      <w:pPr>
        <w:spacing w:before="140" w:after="120" w:line="240" w:lineRule="auto"/>
        <w:jc w:val="both"/>
        <w:outlineLvl w:val="2"/>
        <w:rPr>
          <w:rFonts w:ascii="Times New Roman" w:eastAsia="Times New Roman" w:hAnsi="Times New Roman" w:cs="Times New Roman"/>
          <w:b/>
          <w:bCs/>
          <w:sz w:val="27"/>
          <w:szCs w:val="27"/>
          <w:lang w:val="lv-LV" w:eastAsia="lv-LV"/>
        </w:rPr>
      </w:pPr>
      <w:r>
        <w:rPr>
          <w:rFonts w:ascii="Times New Roman" w:eastAsia="Times New Roman" w:hAnsi="Times New Roman" w:cs="Times New Roman"/>
          <w:b/>
          <w:bCs/>
          <w:color w:val="000000"/>
          <w:sz w:val="28"/>
          <w:szCs w:val="28"/>
          <w:lang w:val="lv-LV" w:eastAsia="lv-LV"/>
        </w:rPr>
        <w:t> 5.10.2. Atbilstība Regulatora prasībām attiecībā uz atskaitēm un tml.</w:t>
      </w:r>
    </w:p>
    <w:p w14:paraId="4F2C2553" w14:textId="77777777" w:rsidR="00553AF1" w:rsidRDefault="00A11AB4">
      <w:pPr>
        <w:spacing w:after="140" w:line="240" w:lineRule="auto"/>
        <w:ind w:firstLine="567"/>
        <w:jc w:val="both"/>
      </w:pPr>
      <w:r>
        <w:rPr>
          <w:rFonts w:ascii="Times New Roman" w:eastAsia="Times New Roman" w:hAnsi="Times New Roman" w:cs="Times New Roman"/>
          <w:color w:val="000000"/>
          <w:sz w:val="24"/>
          <w:szCs w:val="24"/>
          <w:lang w:val="lv-LV" w:eastAsia="lv-LV"/>
        </w:rPr>
        <w:t>MifosX/Fineract nenodrošina tieši tādu procentu un pamatsummu uzskaiti kā nosaka Krājaizdevu sabiedrību gada pārskata sagatavošanas normatīvie noteikumi un FKTK Padomes lēmums “</w:t>
      </w:r>
      <w:r>
        <w:rPr>
          <w:rFonts w:ascii="Times New Roman" w:eastAsia="Times New Roman" w:hAnsi="Times New Roman" w:cs="Times New Roman"/>
          <w:i/>
          <w:iCs/>
          <w:color w:val="000000"/>
          <w:sz w:val="24"/>
          <w:szCs w:val="24"/>
          <w:lang w:val="lv-LV" w:eastAsia="lv-LV"/>
        </w:rPr>
        <w:t>Par kredītiestāžu un krājaizdevu sabiedrību ienākumu un izdevumu uzskaites noteikumiem</w:t>
      </w:r>
      <w:r>
        <w:rPr>
          <w:rFonts w:ascii="Times New Roman" w:eastAsia="Times New Roman" w:hAnsi="Times New Roman" w:cs="Times New Roman"/>
          <w:color w:val="000000"/>
          <w:sz w:val="24"/>
          <w:szCs w:val="24"/>
          <w:lang w:val="lv-LV" w:eastAsia="lv-LV"/>
        </w:rPr>
        <w:t>”, tādēļ šo jautājumu nāksies risināt, pielāgojot sistēmu.</w:t>
      </w:r>
    </w:p>
    <w:p w14:paraId="6BA0B718" w14:textId="77777777" w:rsidR="00553AF1" w:rsidRDefault="00A11AB4">
      <w:pPr>
        <w:spacing w:after="14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Darba patēriņš, ja šajā nodaļā aprakstītā funkcionalitāte jāveido no jauna: 300 cilvēkstundas. Esošās sistēmas savietojamības izveide - 180 cilvēkstundas, jo daudz jātaisa no jauna.</w:t>
      </w:r>
    </w:p>
    <w:p w14:paraId="0F9CFAAC" w14:textId="77777777" w:rsidR="00553AF1" w:rsidRDefault="00553AF1">
      <w:pPr>
        <w:spacing w:after="140" w:line="240" w:lineRule="auto"/>
        <w:ind w:firstLine="567"/>
        <w:jc w:val="both"/>
        <w:rPr>
          <w:rFonts w:ascii="Times New Roman" w:eastAsia="Times New Roman" w:hAnsi="Times New Roman" w:cs="Times New Roman"/>
          <w:color w:val="000000"/>
          <w:sz w:val="24"/>
          <w:szCs w:val="24"/>
          <w:lang w:val="lv-LV" w:eastAsia="lv-LV"/>
        </w:rPr>
      </w:pPr>
    </w:p>
    <w:p w14:paraId="14496224" w14:textId="77777777" w:rsidR="00553AF1" w:rsidRDefault="00A11AB4">
      <w:pPr>
        <w:spacing w:after="140" w:line="240" w:lineRule="auto"/>
        <w:ind w:firstLine="567"/>
        <w:jc w:val="both"/>
        <w:rPr>
          <w:rFonts w:ascii="Times New Roman" w:eastAsia="Times New Roman" w:hAnsi="Times New Roman" w:cs="Times New Roman"/>
          <w:color w:val="000000"/>
          <w:sz w:val="24"/>
          <w:szCs w:val="24"/>
          <w:lang w:val="lv-LV" w:eastAsia="lv-LV"/>
        </w:rPr>
      </w:pPr>
      <w:r>
        <w:br w:type="page"/>
      </w:r>
    </w:p>
    <w:p w14:paraId="5E46C7C2" w14:textId="77777777" w:rsidR="00553AF1" w:rsidRDefault="00A11AB4">
      <w:pPr>
        <w:spacing w:after="140" w:line="240" w:lineRule="auto"/>
        <w:ind w:firstLine="567"/>
        <w:jc w:val="both"/>
        <w:rPr>
          <w:rFonts w:ascii="Times New Roman" w:eastAsia="Times New Roman" w:hAnsi="Times New Roman" w:cs="Times New Roman"/>
          <w:b/>
          <w:bCs/>
          <w:sz w:val="36"/>
          <w:szCs w:val="36"/>
          <w:lang w:val="lv-LV" w:eastAsia="lv-LV"/>
        </w:rPr>
      </w:pPr>
      <w:r>
        <w:rPr>
          <w:rFonts w:ascii="Times New Roman" w:eastAsia="Times New Roman" w:hAnsi="Times New Roman" w:cs="Times New Roman"/>
          <w:b/>
          <w:bCs/>
          <w:sz w:val="36"/>
          <w:szCs w:val="36"/>
          <w:lang w:val="lv-LV" w:eastAsia="lv-LV"/>
        </w:rPr>
        <w:lastRenderedPageBreak/>
        <w:t>6. Kopsavilkums.</w:t>
      </w:r>
    </w:p>
    <w:p w14:paraId="5C6A3EA8" w14:textId="77777777" w:rsidR="00553AF1" w:rsidRDefault="00553AF1">
      <w:pPr>
        <w:spacing w:after="240" w:line="240" w:lineRule="auto"/>
        <w:rPr>
          <w:rFonts w:ascii="Times New Roman" w:eastAsia="Times New Roman" w:hAnsi="Times New Roman" w:cs="Times New Roman"/>
          <w:sz w:val="24"/>
          <w:szCs w:val="24"/>
          <w:lang w:val="lv-LV" w:eastAsia="lv-LV"/>
        </w:rPr>
      </w:pPr>
    </w:p>
    <w:tbl>
      <w:tblPr>
        <w:tblW w:w="9016" w:type="dxa"/>
        <w:tblCellMar>
          <w:left w:w="103" w:type="dxa"/>
        </w:tblCellMar>
        <w:tblLook w:val="04A0" w:firstRow="1" w:lastRow="0" w:firstColumn="1" w:lastColumn="0" w:noHBand="0" w:noVBand="1"/>
      </w:tblPr>
      <w:tblGrid>
        <w:gridCol w:w="5264"/>
        <w:gridCol w:w="1745"/>
        <w:gridCol w:w="2007"/>
      </w:tblGrid>
      <w:tr w:rsidR="00553AF1" w14:paraId="617451C1"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2F2A36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Mikrokredītu uzskaites/administrēšanas programmatūras tehniskās specifikācijas kopsavilkums</w:t>
            </w:r>
          </w:p>
        </w:tc>
      </w:tr>
      <w:tr w:rsidR="00553AF1" w14:paraId="69771E7E"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46714C21"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IT programmatūras nepieciešamā funkcijas/spējas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038260D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Jaunas programmas izveidei nepieciešamās programēšanas stundas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BCAADB7"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Bezpeļņas organizācijas MIFOS programmatūras pielāgošanai nepieciešamās programēšanas stundas </w:t>
            </w:r>
          </w:p>
        </w:tc>
      </w:tr>
      <w:tr w:rsidR="00553AF1" w14:paraId="22859D96"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19D9BFE3"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Lietotājs/I  - sabiedrība, uzņēmums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51A32175"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680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7A4775F8"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80</w:t>
            </w:r>
          </w:p>
        </w:tc>
      </w:tr>
      <w:tr w:rsidR="00553AF1" w14:paraId="09EC86F7"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AFB4BF2"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Virsgrāmata/ kontu plāns, kuru iespējams brīvi papildināt</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159D758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2700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54B39F2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160</w:t>
            </w:r>
          </w:p>
        </w:tc>
      </w:tr>
      <w:tr w:rsidR="00553AF1" w14:paraId="5473E008"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52025A44"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Klienti – aizņēmēji/kredītņēmēji/noguldītāji/ieguldītāji</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3F4DC6C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500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25D0C074"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60</w:t>
            </w:r>
          </w:p>
        </w:tc>
      </w:tr>
      <w:tr w:rsidR="00553AF1" w14:paraId="19ED36FC"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C666E17"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Klientu profili, identifikācija, identifikācijas dokumentu augšupielāde.</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009A6AB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40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EFD63D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10</w:t>
            </w:r>
          </w:p>
        </w:tc>
      </w:tr>
      <w:tr w:rsidR="00553AF1" w14:paraId="601C21B6"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3C631FB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Klienta profili, anketas atbilstoši NILLTF prasībām.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1C5665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CF4A2F3"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200</w:t>
            </w:r>
          </w:p>
        </w:tc>
      </w:tr>
      <w:tr w:rsidR="00553AF1" w14:paraId="484F58E7"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3246305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Kredīti t.sk.</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9BA332E"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850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074A4BE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234</w:t>
            </w:r>
          </w:p>
        </w:tc>
      </w:tr>
      <w:tr w:rsidR="00553AF1" w14:paraId="44FC1B96"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27126A4A"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Kredīta konta izveidošana Klientam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08846098"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220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597A542D"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48</w:t>
            </w:r>
          </w:p>
        </w:tc>
      </w:tr>
      <w:tr w:rsidR="00553AF1" w14:paraId="4A77E6EF"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16BB3026"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Kredīta izsniegšana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2632CF70"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70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064CC6EB"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10</w:t>
            </w:r>
          </w:p>
        </w:tc>
      </w:tr>
      <w:tr w:rsidR="00553AF1" w14:paraId="622CB019"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4E33630"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Kredīta atspoguļošana gan sabiedrības bilancē, gan klienta pozīcijā.</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BA2C7B2"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ED3E609"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r>
      <w:tr w:rsidR="00553AF1" w14:paraId="397141CC"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676C9E33"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Kredīta apstiprināšana/izmaksa/pārskaitīšana Klientam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CFDF2AD"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553C31E"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r>
      <w:tr w:rsidR="00553AF1" w14:paraId="5B7C12ED"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48F5F82A"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Kredītu  nosacījumu izveide (termiņi, procenti, nodrošinājumi) izmaiņas, labošana, anulēšana.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1F3E40E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80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24D5329"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24</w:t>
            </w:r>
          </w:p>
        </w:tc>
      </w:tr>
      <w:tr w:rsidR="00553AF1" w14:paraId="20855A8A"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41EEEF6E"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Kredītprocentu uzskaite, uzkrātie procenti, to attiecināšana klienta pozīcijā, PZ un Bilances virsgrāmatas kontos.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066426EE"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300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B36356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60</w:t>
            </w:r>
          </w:p>
          <w:p w14:paraId="79AA9790" w14:textId="77777777" w:rsidR="00553AF1" w:rsidRDefault="00553AF1">
            <w:pPr>
              <w:spacing w:after="0" w:line="240" w:lineRule="auto"/>
              <w:rPr>
                <w:rFonts w:ascii="Times New Roman" w:eastAsia="Times New Roman" w:hAnsi="Times New Roman" w:cs="Times New Roman"/>
                <w:sz w:val="24"/>
                <w:szCs w:val="24"/>
                <w:lang w:val="lv-LV" w:eastAsia="lv-LV"/>
              </w:rPr>
            </w:pPr>
          </w:p>
        </w:tc>
      </w:tr>
      <w:tr w:rsidR="00553AF1" w14:paraId="1D48CBC7"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36EF10E9"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Kredītu grafiku izveide, vienādi pamatsummas maksaajumi, anuitātes maksājumi, kredīta atmaksa termiņa beigās, kredītlīnijas.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0C689E0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180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24823A4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92</w:t>
            </w:r>
          </w:p>
          <w:p w14:paraId="33033659" w14:textId="77777777" w:rsidR="00553AF1" w:rsidRDefault="00553AF1">
            <w:pPr>
              <w:spacing w:after="0" w:line="240" w:lineRule="auto"/>
              <w:rPr>
                <w:rFonts w:ascii="Times New Roman" w:eastAsia="Times New Roman" w:hAnsi="Times New Roman" w:cs="Times New Roman"/>
                <w:sz w:val="24"/>
                <w:szCs w:val="24"/>
                <w:lang w:val="lv-LV" w:eastAsia="lv-LV"/>
              </w:rPr>
            </w:pPr>
          </w:p>
        </w:tc>
      </w:tr>
      <w:tr w:rsidR="00553AF1" w14:paraId="7B1D68CF"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0CBE43C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Kredītu atmaksa, atmaksas atspoguļojums, gan Klienta pozīcijā, gan sabiebrības bilancē. Procentu, pamatsummas sadalījumi.</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7A3BACEB"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5E659BF8"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r>
      <w:tr w:rsidR="00553AF1" w14:paraId="1905A880"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324AC6B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Noguldījumi/Ieguldījumi t.sk.</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79B6E5B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450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7898CD37"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64</w:t>
            </w:r>
          </w:p>
        </w:tc>
      </w:tr>
      <w:tr w:rsidR="00553AF1" w14:paraId="4374AD39"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091DF12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Noguldījuma/Ieguldījuma konta atvēršana klientam, kas atspoguļojas gan klienta pozīcijā gan sabiedrības bilancē.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5CB9E113"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150</w:t>
            </w:r>
          </w:p>
          <w:p w14:paraId="61FC89AA" w14:textId="77777777" w:rsidR="00553AF1" w:rsidRDefault="00553AF1">
            <w:pPr>
              <w:spacing w:after="0" w:line="240" w:lineRule="auto"/>
              <w:rPr>
                <w:rFonts w:ascii="Times New Roman" w:eastAsia="Times New Roman" w:hAnsi="Times New Roman" w:cs="Times New Roman"/>
                <w:sz w:val="24"/>
                <w:szCs w:val="24"/>
                <w:lang w:val="lv-LV" w:eastAsia="lv-LV"/>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03A30F3"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w:t>
            </w:r>
          </w:p>
        </w:tc>
      </w:tr>
      <w:tr w:rsidR="00553AF1" w14:paraId="2808E71D"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6E264077"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 xml:space="preserve"> Noguldījumu/ieguldījumu procentu, uzkrāto procentu aprēķins, grāmatojumi, to attiecināšana gan klienta pozīcijā, gan Sabiedrības bilancē.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C84107D"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01795D9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w:t>
            </w:r>
          </w:p>
        </w:tc>
      </w:tr>
      <w:tr w:rsidR="00553AF1" w14:paraId="3914F6F3"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8971B46"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Noguldījumu/ieguldījumu nosacījumu maiņa, termiņi, procenti.</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57FE4CAB"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51D0247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w:t>
            </w:r>
          </w:p>
        </w:tc>
      </w:tr>
      <w:tr w:rsidR="00553AF1" w14:paraId="2BD96557"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452A7CF"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Noguldāmo/ieguldāmo līdzekļu saņemšana no klientiem, atgriešana/ izmaksa klientiem.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21FCA0BE"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73AF6C44"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w:t>
            </w:r>
          </w:p>
        </w:tc>
      </w:tr>
      <w:tr w:rsidR="00553AF1" w14:paraId="21CB383E"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4E117F2A"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Atskaites t.sk.</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10484FD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272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12ACB6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178</w:t>
            </w:r>
          </w:p>
        </w:tc>
      </w:tr>
      <w:tr w:rsidR="00553AF1" w14:paraId="63CCB298"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0C3970FA"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Kredīti sadalījumā pēc termiņiem, nodrošinājumiem, mērķiem, procentu likmēm, kredītu atlikumiem, pēc klientiem.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12AFE11E"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48</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005BFB84"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9</w:t>
            </w:r>
          </w:p>
        </w:tc>
      </w:tr>
      <w:tr w:rsidR="00553AF1" w14:paraId="4F08D2BB"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3EEC618A"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lastRenderedPageBreak/>
              <w:t>Noguldījumi/ieguldījumi sadalījumā pēc termiņiem, nodrošinājumiem, mērķiem, procentu likmēm,  atlikumiem, pēc klientiem.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0D66B7B7"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48</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8A28D05"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9</w:t>
            </w:r>
          </w:p>
        </w:tc>
      </w:tr>
      <w:tr w:rsidR="00553AF1" w14:paraId="22EAB93A"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20892893"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Atskaišu datu migrācija  uz partneru daru bāzēm t.i. uz VID, FKTK,  LB kredītu reģistru, KIB uz citiem nebanku kredītu reģistriem.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48E664A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9B0E915"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160</w:t>
            </w:r>
          </w:p>
        </w:tc>
      </w:tr>
      <w:tr w:rsidR="00553AF1" w14:paraId="4119E5E1"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21D09D72"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Kavēto kredītu atskaite, ar kavējuma perioda uzrādīšanu.</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5B34DACE"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16</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15BAFA1D"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lang w:val="lv-LV" w:eastAsia="lv-LV"/>
              </w:rPr>
              <w:t>0</w:t>
            </w:r>
          </w:p>
        </w:tc>
      </w:tr>
      <w:tr w:rsidR="00553AF1" w14:paraId="709E19F7"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1994BD2F"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Atgādinājuma e-pasts, sms klientam par kavētu kredīta maksājumu/tuvojošos noguldījuma/ieguldījuma beigu termiņu.</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7A2A82B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120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BE6CEF3"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80</w:t>
            </w:r>
          </w:p>
        </w:tc>
      </w:tr>
      <w:tr w:rsidR="00553AF1" w14:paraId="436AE453"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C5702D3"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Sabiedrības mājas lapas izstrāde, savienojama, ar izstrādāto/pielāgoto programmu ar iespēju Klientam reģistrēties tajā, pieteikties kredītam (ar identifikāciju), apskatīt esošo kredītu/noguldījumu/ieguldījumu informāciju.</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311460A6"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160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75CC8DDA"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160</w:t>
            </w:r>
          </w:p>
        </w:tc>
      </w:tr>
      <w:tr w:rsidR="00553AF1" w14:paraId="7C3B58BF"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76C60F01"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Kredītu/noguldījumu/ieguldījumu līgumu integrācija programmā un to ģenerēšana/drukāšana no programmas.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273A84D0"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900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0B05E553"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900</w:t>
            </w:r>
          </w:p>
        </w:tc>
      </w:tr>
      <w:tr w:rsidR="00553AF1" w14:paraId="4345DC53"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0BC88F0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Programmas drošība, savietojamība ar dažādām operētājsistēmām, programmatūras drošība.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28249C59"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480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1F8EC5C5"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0</w:t>
            </w:r>
          </w:p>
        </w:tc>
      </w:tr>
      <w:tr w:rsidR="00553AF1" w14:paraId="40C5F4B7"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6A223A1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Programmatūras testēšana, Sabiedrības līmenis, Klienta profila līmenis.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3E1C3BD5"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260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5C30374A"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260</w:t>
            </w:r>
          </w:p>
        </w:tc>
      </w:tr>
      <w:tr w:rsidR="00553AF1" w14:paraId="6AC62403"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0549DA5D"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Programmatūras rokas grāmata, instrukcija;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7D4AD901"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300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B73F68C"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100</w:t>
            </w:r>
          </w:p>
        </w:tc>
      </w:tr>
      <w:tr w:rsidR="00553AF1" w14:paraId="4BD1A74B"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4E60680C" w14:textId="77777777" w:rsidR="00553AF1" w:rsidRDefault="00A11AB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Programmatūras atbilstības nodrošināšana LR regulatoru un likumdošanas prasībām.</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63846FFF"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300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6AC96918" w14:textId="77777777" w:rsidR="00553AF1" w:rsidRDefault="00A11AB4">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b/>
                <w:bCs/>
                <w:color w:val="000000"/>
                <w:lang w:val="lv-LV" w:eastAsia="lv-LV"/>
              </w:rPr>
              <w:t>180</w:t>
            </w:r>
          </w:p>
        </w:tc>
      </w:tr>
      <w:tr w:rsidR="00553AF1" w14:paraId="6F088F35" w14:textId="77777777">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450BBF8A" w14:textId="77777777" w:rsidR="00553AF1" w:rsidRDefault="00A11AB4">
            <w:pPr>
              <w:spacing w:after="0" w:line="240" w:lineRule="auto"/>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Kopā prognozētās programmēšanas stundas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6EBFDC0F" w14:textId="77777777" w:rsidR="00553AF1" w:rsidRDefault="00A11AB4">
            <w:pPr>
              <w:spacing w:after="0" w:line="240" w:lineRule="auto"/>
              <w:jc w:val="right"/>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8512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516A1DDD" w14:textId="77777777" w:rsidR="00553AF1" w:rsidRDefault="00A11AB4">
            <w:pPr>
              <w:spacing w:after="0" w:line="240" w:lineRule="auto"/>
              <w:jc w:val="right"/>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2666</w:t>
            </w:r>
          </w:p>
        </w:tc>
      </w:tr>
    </w:tbl>
    <w:p w14:paraId="366AE1FC" w14:textId="77777777" w:rsidR="00553AF1" w:rsidRDefault="00553AF1">
      <w:pPr>
        <w:rPr>
          <w:rFonts w:ascii="Times New Roman" w:hAnsi="Times New Roman" w:cs="Times New Roman"/>
        </w:rPr>
      </w:pPr>
    </w:p>
    <w:p w14:paraId="3D6C5298" w14:textId="77777777" w:rsidR="00553AF1" w:rsidRDefault="00A11AB4">
      <w:pPr>
        <w:rPr>
          <w:rFonts w:ascii="Times New Roman" w:hAnsi="Times New Roman" w:cs="Times New Roman"/>
        </w:rPr>
      </w:pPr>
      <w:r>
        <w:br w:type="page"/>
      </w:r>
    </w:p>
    <w:p w14:paraId="7FA96715" w14:textId="77777777" w:rsidR="00553AF1" w:rsidRDefault="00A11AB4">
      <w:pPr>
        <w:rPr>
          <w:rFonts w:ascii="Times New Roman" w:hAnsi="Times New Roman" w:cs="Times New Roman"/>
          <w:b/>
          <w:bCs/>
          <w:sz w:val="36"/>
          <w:szCs w:val="36"/>
        </w:rPr>
      </w:pPr>
      <w:r>
        <w:rPr>
          <w:rFonts w:ascii="Times New Roman" w:hAnsi="Times New Roman" w:cs="Times New Roman"/>
          <w:b/>
          <w:bCs/>
          <w:sz w:val="36"/>
          <w:szCs w:val="36"/>
        </w:rPr>
        <w:lastRenderedPageBreak/>
        <w:t>7. SECINĀJUMI.</w:t>
      </w:r>
    </w:p>
    <w:p w14:paraId="20E496FA" w14:textId="77777777" w:rsidR="00553AF1" w:rsidRDefault="00A11AB4">
      <w:pPr>
        <w:rPr>
          <w:rFonts w:ascii="Times New Roman" w:hAnsi="Times New Roman" w:cs="Times New Roman"/>
          <w:b/>
          <w:bCs/>
          <w:i/>
          <w:iCs/>
          <w:sz w:val="24"/>
          <w:szCs w:val="24"/>
        </w:rPr>
      </w:pPr>
      <w:r>
        <w:rPr>
          <w:rFonts w:ascii="Times New Roman" w:hAnsi="Times New Roman" w:cs="Times New Roman"/>
          <w:b/>
          <w:bCs/>
          <w:sz w:val="24"/>
          <w:szCs w:val="24"/>
        </w:rPr>
        <w:t>7.1. Sistēma Mifos X, ir piemērota nebanku mikrokredītu izsniedzēju uzskaites vajadzībām.</w:t>
      </w:r>
    </w:p>
    <w:p w14:paraId="7C80C285" w14:textId="77777777" w:rsidR="00553AF1" w:rsidRDefault="00A11AB4">
      <w:pPr>
        <w:rPr>
          <w:rFonts w:ascii="Times New Roman" w:hAnsi="Times New Roman" w:cs="Times New Roman"/>
          <w:b/>
          <w:bCs/>
          <w:sz w:val="24"/>
          <w:szCs w:val="24"/>
        </w:rPr>
      </w:pPr>
      <w:r>
        <w:rPr>
          <w:rFonts w:ascii="Times New Roman" w:hAnsi="Times New Roman" w:cs="Times New Roman"/>
          <w:b/>
          <w:bCs/>
          <w:sz w:val="24"/>
          <w:szCs w:val="24"/>
        </w:rPr>
        <w:t>7.2. Sistēma Mifos X pielāgošana Latvijas likumdošanas prasībām būs provizoriski trīs reizes lētāka, nekā jauna produkta – IT rīka radīšana.</w:t>
      </w:r>
    </w:p>
    <w:p w14:paraId="72B35004" w14:textId="77777777" w:rsidR="00553AF1" w:rsidRDefault="00A11AB4">
      <w:r>
        <w:rPr>
          <w:rFonts w:ascii="Times New Roman" w:hAnsi="Times New Roman" w:cs="Times New Roman"/>
          <w:b/>
          <w:bCs/>
          <w:sz w:val="24"/>
          <w:szCs w:val="24"/>
        </w:rPr>
        <w:t>7.3. Sistēma Mifos X nodrošina neatkarību, jo ir atvērtā koda projekts, kas pieejams visiem lietot gribētājiem bez samaksas, un uz tā bāzes var veidot savas neatkarīgas versijas.</w:t>
      </w:r>
    </w:p>
    <w:p w14:paraId="64119247" w14:textId="77777777" w:rsidR="00553AF1" w:rsidRDefault="00A11AB4">
      <w:pPr>
        <w:rPr>
          <w:rFonts w:ascii="Times New Roman" w:hAnsi="Times New Roman" w:cs="Times New Roman"/>
          <w:b/>
          <w:bCs/>
          <w:sz w:val="24"/>
          <w:szCs w:val="24"/>
        </w:rPr>
      </w:pPr>
      <w:r>
        <w:rPr>
          <w:rFonts w:ascii="Times New Roman" w:hAnsi="Times New Roman" w:cs="Times New Roman"/>
          <w:b/>
          <w:bCs/>
          <w:sz w:val="24"/>
          <w:szCs w:val="24"/>
        </w:rPr>
        <w:t>7.4. Primāri nepieciešams sistēmas tulkojums latviešu valodā.</w:t>
      </w:r>
    </w:p>
    <w:p w14:paraId="11258C22" w14:textId="77777777" w:rsidR="00553AF1" w:rsidRDefault="00A11AB4">
      <w:pPr>
        <w:rPr>
          <w:rFonts w:ascii="Times New Roman" w:hAnsi="Times New Roman" w:cs="Times New Roman"/>
          <w:b/>
          <w:bCs/>
          <w:sz w:val="24"/>
          <w:szCs w:val="24"/>
        </w:rPr>
      </w:pPr>
      <w:r>
        <w:rPr>
          <w:rFonts w:ascii="Times New Roman" w:hAnsi="Times New Roman" w:cs="Times New Roman"/>
          <w:b/>
          <w:bCs/>
          <w:sz w:val="24"/>
          <w:szCs w:val="24"/>
        </w:rPr>
        <w:t xml:space="preserve">7.5. Nepieciešams nodrošināt vismaz divu sistēmas </w:t>
      </w:r>
      <w:r>
        <w:rPr>
          <w:rFonts w:ascii="Times New Roman" w:hAnsi="Times New Roman" w:cs="Times New Roman"/>
          <w:b/>
          <w:bCs/>
          <w:i/>
          <w:iCs/>
          <w:sz w:val="24"/>
          <w:szCs w:val="24"/>
        </w:rPr>
        <w:t>Mifos X/Fineract</w:t>
      </w:r>
      <w:r>
        <w:rPr>
          <w:rFonts w:ascii="Times New Roman" w:hAnsi="Times New Roman" w:cs="Times New Roman"/>
          <w:b/>
          <w:bCs/>
          <w:sz w:val="24"/>
          <w:szCs w:val="24"/>
        </w:rPr>
        <w:t xml:space="preserve"> kompleksa administratoru apmācību, lai nodrošinātu sekmīgu sistēmas ieviešanu un darbību Latvijā.</w:t>
      </w:r>
    </w:p>
    <w:p w14:paraId="687D9BC3" w14:textId="77777777" w:rsidR="00553AF1" w:rsidRDefault="00553AF1"/>
    <w:sectPr w:rsidR="00553AF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068"/>
    <w:multiLevelType w:val="multilevel"/>
    <w:tmpl w:val="A1CC8964"/>
    <w:lvl w:ilvl="0">
      <w:start w:val="1"/>
      <w:numFmt w:val="decimal"/>
      <w:lvlText w:val="%1."/>
      <w:lvlJc w:val="left"/>
      <w:pPr>
        <w:tabs>
          <w:tab w:val="num" w:pos="720"/>
        </w:tabs>
        <w:ind w:left="720" w:hanging="360"/>
      </w:pPr>
      <w:rPr>
        <w:rFonts w:ascii="Times New Roman" w:hAnsi="Times New Roman"/>
        <w:b/>
        <w:sz w:val="36"/>
        <w:szCs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3250BE"/>
    <w:multiLevelType w:val="multilevel"/>
    <w:tmpl w:val="BADC0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E870BF"/>
    <w:multiLevelType w:val="multilevel"/>
    <w:tmpl w:val="3FFE4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B25D98"/>
    <w:multiLevelType w:val="multilevel"/>
    <w:tmpl w:val="AEC40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F1"/>
    <w:rsid w:val="0009155B"/>
    <w:rsid w:val="00174980"/>
    <w:rsid w:val="00444FD4"/>
    <w:rsid w:val="00553AF1"/>
    <w:rsid w:val="00566A66"/>
    <w:rsid w:val="005F578E"/>
    <w:rsid w:val="006A69A8"/>
    <w:rsid w:val="006C4DB1"/>
    <w:rsid w:val="00A11AB4"/>
    <w:rsid w:val="00D41875"/>
    <w:rsid w:val="00DE2540"/>
    <w:rsid w:val="00EE25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684A0B"/>
    <w:pPr>
      <w:spacing w:beforeAutospacing="1" w:afterAutospacing="1" w:line="240" w:lineRule="auto"/>
      <w:outlineLvl w:val="0"/>
    </w:pPr>
    <w:rPr>
      <w:rFonts w:ascii="Times New Roman" w:eastAsia="Times New Roman" w:hAnsi="Times New Roman" w:cs="Times New Roman"/>
      <w:b/>
      <w:bCs/>
      <w:kern w:val="2"/>
      <w:sz w:val="48"/>
      <w:szCs w:val="48"/>
      <w:lang w:val="lv-LV" w:eastAsia="lv-LV"/>
    </w:rPr>
  </w:style>
  <w:style w:type="paragraph" w:styleId="Heading2">
    <w:name w:val="heading 2"/>
    <w:basedOn w:val="Normal"/>
    <w:link w:val="Heading2Char"/>
    <w:uiPriority w:val="9"/>
    <w:qFormat/>
    <w:rsid w:val="00684A0B"/>
    <w:pPr>
      <w:spacing w:beforeAutospacing="1"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link w:val="Heading3Char"/>
    <w:uiPriority w:val="9"/>
    <w:qFormat/>
    <w:rsid w:val="00684A0B"/>
    <w:pPr>
      <w:spacing w:beforeAutospacing="1" w:afterAutospacing="1" w:line="240" w:lineRule="auto"/>
      <w:outlineLvl w:val="2"/>
    </w:pPr>
    <w:rPr>
      <w:rFonts w:ascii="Times New Roman" w:eastAsia="Times New Roman" w:hAnsi="Times New Roman" w:cs="Times New Roman"/>
      <w:b/>
      <w:bCs/>
      <w:sz w:val="27"/>
      <w:szCs w:val="27"/>
      <w:lang w:val="lv-LV" w:eastAsia="lv-LV"/>
    </w:rPr>
  </w:style>
  <w:style w:type="paragraph" w:styleId="Heading4">
    <w:name w:val="heading 4"/>
    <w:basedOn w:val="Normal"/>
    <w:link w:val="Heading4Char"/>
    <w:uiPriority w:val="9"/>
    <w:qFormat/>
    <w:rsid w:val="00684A0B"/>
    <w:pPr>
      <w:spacing w:beforeAutospacing="1" w:afterAutospacing="1" w:line="240" w:lineRule="auto"/>
      <w:outlineLvl w:val="3"/>
    </w:pPr>
    <w:rPr>
      <w:rFonts w:ascii="Times New Roman" w:eastAsia="Times New Roman" w:hAnsi="Times New Roman" w:cs="Times New Roman"/>
      <w:b/>
      <w:bCs/>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4A0B"/>
    <w:rPr>
      <w:rFonts w:ascii="Times New Roman" w:eastAsia="Times New Roman" w:hAnsi="Times New Roman" w:cs="Times New Roman"/>
      <w:b/>
      <w:bCs/>
      <w:kern w:val="2"/>
      <w:sz w:val="48"/>
      <w:szCs w:val="48"/>
      <w:lang w:val="lv-LV" w:eastAsia="lv-LV"/>
    </w:rPr>
  </w:style>
  <w:style w:type="character" w:customStyle="1" w:styleId="Heading2Char">
    <w:name w:val="Heading 2 Char"/>
    <w:basedOn w:val="DefaultParagraphFont"/>
    <w:link w:val="Heading2"/>
    <w:uiPriority w:val="9"/>
    <w:qFormat/>
    <w:rsid w:val="00684A0B"/>
    <w:rPr>
      <w:rFonts w:ascii="Times New Roman" w:eastAsia="Times New Roman" w:hAnsi="Times New Roman" w:cs="Times New Roman"/>
      <w:b/>
      <w:bCs/>
      <w:sz w:val="36"/>
      <w:szCs w:val="36"/>
      <w:lang w:val="lv-LV" w:eastAsia="lv-LV"/>
    </w:rPr>
  </w:style>
  <w:style w:type="character" w:customStyle="1" w:styleId="Heading3Char">
    <w:name w:val="Heading 3 Char"/>
    <w:basedOn w:val="DefaultParagraphFont"/>
    <w:link w:val="Heading3"/>
    <w:uiPriority w:val="9"/>
    <w:qFormat/>
    <w:rsid w:val="00684A0B"/>
    <w:rPr>
      <w:rFonts w:ascii="Times New Roman" w:eastAsia="Times New Roman" w:hAnsi="Times New Roman" w:cs="Times New Roman"/>
      <w:b/>
      <w:bCs/>
      <w:sz w:val="27"/>
      <w:szCs w:val="27"/>
      <w:lang w:val="lv-LV" w:eastAsia="lv-LV"/>
    </w:rPr>
  </w:style>
  <w:style w:type="character" w:customStyle="1" w:styleId="Heading4Char">
    <w:name w:val="Heading 4 Char"/>
    <w:basedOn w:val="DefaultParagraphFont"/>
    <w:link w:val="Heading4"/>
    <w:uiPriority w:val="9"/>
    <w:qFormat/>
    <w:rsid w:val="00684A0B"/>
    <w:rPr>
      <w:rFonts w:ascii="Times New Roman" w:eastAsia="Times New Roman" w:hAnsi="Times New Roman" w:cs="Times New Roman"/>
      <w:b/>
      <w:bCs/>
      <w:sz w:val="24"/>
      <w:szCs w:val="24"/>
      <w:lang w:val="lv-LV" w:eastAsia="lv-LV"/>
    </w:rPr>
  </w:style>
  <w:style w:type="character" w:customStyle="1" w:styleId="Internetasaite">
    <w:name w:val="Interneta saite"/>
    <w:basedOn w:val="DefaultParagraphFont"/>
    <w:uiPriority w:val="99"/>
    <w:semiHidden/>
    <w:unhideWhenUsed/>
    <w:rsid w:val="00684A0B"/>
    <w:rPr>
      <w:color w:val="0000FF"/>
      <w:u w:val="single"/>
    </w:rPr>
  </w:style>
  <w:style w:type="character" w:customStyle="1" w:styleId="apple-tab-span">
    <w:name w:val="apple-tab-span"/>
    <w:basedOn w:val="DefaultParagraphFont"/>
    <w:qFormat/>
    <w:rsid w:val="00684A0B"/>
  </w:style>
  <w:style w:type="paragraph" w:customStyle="1" w:styleId="Virsraksts">
    <w:name w:val="Virsraksts"/>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Rdtjs">
    <w:name w:val="Rādītājs"/>
    <w:basedOn w:val="Normal"/>
    <w:qFormat/>
    <w:pPr>
      <w:suppressLineNumbers/>
    </w:pPr>
    <w:rPr>
      <w:rFonts w:cs="Arial Unicode MS"/>
    </w:rPr>
  </w:style>
  <w:style w:type="paragraph" w:customStyle="1" w:styleId="msonormal0">
    <w:name w:val="msonormal"/>
    <w:basedOn w:val="Normal"/>
    <w:qFormat/>
    <w:rsid w:val="00684A0B"/>
    <w:pPr>
      <w:spacing w:beforeAutospacing="1"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semiHidden/>
    <w:unhideWhenUsed/>
    <w:qFormat/>
    <w:rsid w:val="00684A0B"/>
    <w:pPr>
      <w:spacing w:beforeAutospacing="1"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EE25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684A0B"/>
    <w:pPr>
      <w:spacing w:beforeAutospacing="1" w:afterAutospacing="1" w:line="240" w:lineRule="auto"/>
      <w:outlineLvl w:val="0"/>
    </w:pPr>
    <w:rPr>
      <w:rFonts w:ascii="Times New Roman" w:eastAsia="Times New Roman" w:hAnsi="Times New Roman" w:cs="Times New Roman"/>
      <w:b/>
      <w:bCs/>
      <w:kern w:val="2"/>
      <w:sz w:val="48"/>
      <w:szCs w:val="48"/>
      <w:lang w:val="lv-LV" w:eastAsia="lv-LV"/>
    </w:rPr>
  </w:style>
  <w:style w:type="paragraph" w:styleId="Heading2">
    <w:name w:val="heading 2"/>
    <w:basedOn w:val="Normal"/>
    <w:link w:val="Heading2Char"/>
    <w:uiPriority w:val="9"/>
    <w:qFormat/>
    <w:rsid w:val="00684A0B"/>
    <w:pPr>
      <w:spacing w:beforeAutospacing="1"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link w:val="Heading3Char"/>
    <w:uiPriority w:val="9"/>
    <w:qFormat/>
    <w:rsid w:val="00684A0B"/>
    <w:pPr>
      <w:spacing w:beforeAutospacing="1" w:afterAutospacing="1" w:line="240" w:lineRule="auto"/>
      <w:outlineLvl w:val="2"/>
    </w:pPr>
    <w:rPr>
      <w:rFonts w:ascii="Times New Roman" w:eastAsia="Times New Roman" w:hAnsi="Times New Roman" w:cs="Times New Roman"/>
      <w:b/>
      <w:bCs/>
      <w:sz w:val="27"/>
      <w:szCs w:val="27"/>
      <w:lang w:val="lv-LV" w:eastAsia="lv-LV"/>
    </w:rPr>
  </w:style>
  <w:style w:type="paragraph" w:styleId="Heading4">
    <w:name w:val="heading 4"/>
    <w:basedOn w:val="Normal"/>
    <w:link w:val="Heading4Char"/>
    <w:uiPriority w:val="9"/>
    <w:qFormat/>
    <w:rsid w:val="00684A0B"/>
    <w:pPr>
      <w:spacing w:beforeAutospacing="1" w:afterAutospacing="1" w:line="240" w:lineRule="auto"/>
      <w:outlineLvl w:val="3"/>
    </w:pPr>
    <w:rPr>
      <w:rFonts w:ascii="Times New Roman" w:eastAsia="Times New Roman" w:hAnsi="Times New Roman" w:cs="Times New Roman"/>
      <w:b/>
      <w:bCs/>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4A0B"/>
    <w:rPr>
      <w:rFonts w:ascii="Times New Roman" w:eastAsia="Times New Roman" w:hAnsi="Times New Roman" w:cs="Times New Roman"/>
      <w:b/>
      <w:bCs/>
      <w:kern w:val="2"/>
      <w:sz w:val="48"/>
      <w:szCs w:val="48"/>
      <w:lang w:val="lv-LV" w:eastAsia="lv-LV"/>
    </w:rPr>
  </w:style>
  <w:style w:type="character" w:customStyle="1" w:styleId="Heading2Char">
    <w:name w:val="Heading 2 Char"/>
    <w:basedOn w:val="DefaultParagraphFont"/>
    <w:link w:val="Heading2"/>
    <w:uiPriority w:val="9"/>
    <w:qFormat/>
    <w:rsid w:val="00684A0B"/>
    <w:rPr>
      <w:rFonts w:ascii="Times New Roman" w:eastAsia="Times New Roman" w:hAnsi="Times New Roman" w:cs="Times New Roman"/>
      <w:b/>
      <w:bCs/>
      <w:sz w:val="36"/>
      <w:szCs w:val="36"/>
      <w:lang w:val="lv-LV" w:eastAsia="lv-LV"/>
    </w:rPr>
  </w:style>
  <w:style w:type="character" w:customStyle="1" w:styleId="Heading3Char">
    <w:name w:val="Heading 3 Char"/>
    <w:basedOn w:val="DefaultParagraphFont"/>
    <w:link w:val="Heading3"/>
    <w:uiPriority w:val="9"/>
    <w:qFormat/>
    <w:rsid w:val="00684A0B"/>
    <w:rPr>
      <w:rFonts w:ascii="Times New Roman" w:eastAsia="Times New Roman" w:hAnsi="Times New Roman" w:cs="Times New Roman"/>
      <w:b/>
      <w:bCs/>
      <w:sz w:val="27"/>
      <w:szCs w:val="27"/>
      <w:lang w:val="lv-LV" w:eastAsia="lv-LV"/>
    </w:rPr>
  </w:style>
  <w:style w:type="character" w:customStyle="1" w:styleId="Heading4Char">
    <w:name w:val="Heading 4 Char"/>
    <w:basedOn w:val="DefaultParagraphFont"/>
    <w:link w:val="Heading4"/>
    <w:uiPriority w:val="9"/>
    <w:qFormat/>
    <w:rsid w:val="00684A0B"/>
    <w:rPr>
      <w:rFonts w:ascii="Times New Roman" w:eastAsia="Times New Roman" w:hAnsi="Times New Roman" w:cs="Times New Roman"/>
      <w:b/>
      <w:bCs/>
      <w:sz w:val="24"/>
      <w:szCs w:val="24"/>
      <w:lang w:val="lv-LV" w:eastAsia="lv-LV"/>
    </w:rPr>
  </w:style>
  <w:style w:type="character" w:customStyle="1" w:styleId="Internetasaite">
    <w:name w:val="Interneta saite"/>
    <w:basedOn w:val="DefaultParagraphFont"/>
    <w:uiPriority w:val="99"/>
    <w:semiHidden/>
    <w:unhideWhenUsed/>
    <w:rsid w:val="00684A0B"/>
    <w:rPr>
      <w:color w:val="0000FF"/>
      <w:u w:val="single"/>
    </w:rPr>
  </w:style>
  <w:style w:type="character" w:customStyle="1" w:styleId="apple-tab-span">
    <w:name w:val="apple-tab-span"/>
    <w:basedOn w:val="DefaultParagraphFont"/>
    <w:qFormat/>
    <w:rsid w:val="00684A0B"/>
  </w:style>
  <w:style w:type="paragraph" w:customStyle="1" w:styleId="Virsraksts">
    <w:name w:val="Virsraksts"/>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Rdtjs">
    <w:name w:val="Rādītājs"/>
    <w:basedOn w:val="Normal"/>
    <w:qFormat/>
    <w:pPr>
      <w:suppressLineNumbers/>
    </w:pPr>
    <w:rPr>
      <w:rFonts w:cs="Arial Unicode MS"/>
    </w:rPr>
  </w:style>
  <w:style w:type="paragraph" w:customStyle="1" w:styleId="msonormal0">
    <w:name w:val="msonormal"/>
    <w:basedOn w:val="Normal"/>
    <w:qFormat/>
    <w:rsid w:val="00684A0B"/>
    <w:pPr>
      <w:spacing w:beforeAutospacing="1"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semiHidden/>
    <w:unhideWhenUsed/>
    <w:qFormat/>
    <w:rsid w:val="00684A0B"/>
    <w:pPr>
      <w:spacing w:beforeAutospacing="1"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EE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ifos.org/take-action/partners/" TargetMode="External"/><Relationship Id="rId18" Type="http://schemas.openxmlformats.org/officeDocument/2006/relationships/hyperlink" Target="https://apachecon.com/acah2020/tracks/fineract.html" TargetMode="External"/><Relationship Id="rId26" Type="http://schemas.openxmlformats.org/officeDocument/2006/relationships/hyperlink" Target="https://translatewiki.net/w/i.php?title=Special:Translate&amp;group=out-mifos&amp;language=lv&amp;filter=!translated&amp;action=translate" TargetMode="External"/><Relationship Id="rId39" Type="http://schemas.openxmlformats.org/officeDocument/2006/relationships/hyperlink" Target="https://mifosforge.jira.com/wiki/spaces/docs/pages/82706605/Manage+Hooks" TargetMode="External"/><Relationship Id="rId3" Type="http://schemas.microsoft.com/office/2007/relationships/stylesWithEffects" Target="stylesWithEffects.xml"/><Relationship Id="rId21" Type="http://schemas.openxmlformats.org/officeDocument/2006/relationships/hyperlink" Target="https://www.openhub.net/" TargetMode="External"/><Relationship Id="rId34" Type="http://schemas.openxmlformats.org/officeDocument/2006/relationships/hyperlink" Target="https://tldrlegal.com/license/apache-license-2.0-(apache-2.0" TargetMode="External"/><Relationship Id="rId42" Type="http://schemas.openxmlformats.org/officeDocument/2006/relationships/hyperlink" Target="https://play.google.com/store/apps/details?id=com.mifos.mifosxdroid" TargetMode="External"/><Relationship Id="rId47" Type="http://schemas.openxmlformats.org/officeDocument/2006/relationships/hyperlink" Target="https://likumi.lv/ta/id/317384-informacijas-tehnologiju-un-drosibas-risku-parvaldibas-normativie-noteikumi" TargetMode="External"/><Relationship Id="rId50" Type="http://schemas.openxmlformats.org/officeDocument/2006/relationships/theme" Target="theme/theme1.xml"/><Relationship Id="rId7" Type="http://schemas.openxmlformats.org/officeDocument/2006/relationships/hyperlink" Target="https://mifos.org/" TargetMode="External"/><Relationship Id="rId12" Type="http://schemas.openxmlformats.org/officeDocument/2006/relationships/hyperlink" Target="https://mifos.org/impact/powered-by-mifos/" TargetMode="External"/><Relationship Id="rId17" Type="http://schemas.openxmlformats.org/officeDocument/2006/relationships/hyperlink" Target="https://lifeup.ee/ru/products/core-banking-module/" TargetMode="External"/><Relationship Id="rId25" Type="http://schemas.openxmlformats.org/officeDocument/2006/relationships/hyperlink" Target="https://github.com/apache/fineract/graphs/contributors" TargetMode="External"/><Relationship Id="rId33" Type="http://schemas.openxmlformats.org/officeDocument/2006/relationships/hyperlink" Target="https://tldrlegal.com/license/mozilla-public-license-2.0-(mpl-2" TargetMode="External"/><Relationship Id="rId38" Type="http://schemas.openxmlformats.org/officeDocument/2006/relationships/hyperlink" Target="https://mifosforge.jira.com/wiki/spaces/docs/pages/102629497/Savings+Products" TargetMode="External"/><Relationship Id="rId46" Type="http://schemas.openxmlformats.org/officeDocument/2006/relationships/hyperlink" Target="https://gitter.im/openMF/home" TargetMode="External"/><Relationship Id="rId2" Type="http://schemas.openxmlformats.org/officeDocument/2006/relationships/styles" Target="styles.xml"/><Relationship Id="rId16" Type="http://schemas.openxmlformats.org/officeDocument/2006/relationships/hyperlink" Target="https://lifeup.ee/" TargetMode="External"/><Relationship Id="rId20" Type="http://schemas.openxmlformats.org/officeDocument/2006/relationships/hyperlink" Target="https://github.com/openMF/community-app" TargetMode="External"/><Relationship Id="rId29" Type="http://schemas.openxmlformats.org/officeDocument/2006/relationships/hyperlink" Target="https://mifosforge.jira.com/wiki/spaces/docs/overview" TargetMode="External"/><Relationship Id="rId41" Type="http://schemas.openxmlformats.org/officeDocument/2006/relationships/hyperlink" Target="https://cve.mitre.org/cgi-bin/cvekey.cgi?keyword=Fineract" TargetMode="External"/><Relationship Id="rId1" Type="http://schemas.openxmlformats.org/officeDocument/2006/relationships/numbering" Target="numbering.xml"/><Relationship Id="rId6" Type="http://schemas.openxmlformats.org/officeDocument/2006/relationships/hyperlink" Target="https://grameenfoundation.org/" TargetMode="External"/><Relationship Id="rId11" Type="http://schemas.openxmlformats.org/officeDocument/2006/relationships/hyperlink" Target="https://github.com/openMF/community-app" TargetMode="External"/><Relationship Id="rId24" Type="http://schemas.openxmlformats.org/officeDocument/2006/relationships/hyperlink" Target="https://mifos.org/about-us/financial-legal/" TargetMode="External"/><Relationship Id="rId32" Type="http://schemas.openxmlformats.org/officeDocument/2006/relationships/hyperlink" Target="https://mifos.org/mifos-x/" TargetMode="External"/><Relationship Id="rId37" Type="http://schemas.openxmlformats.org/officeDocument/2006/relationships/hyperlink" Target="https://mifos.org/mifos-x/flexible-product-configuration/" TargetMode="External"/><Relationship Id="rId40" Type="http://schemas.openxmlformats.org/officeDocument/2006/relationships/hyperlink" Target="https://hub.docker.com/r/apache/fineract" TargetMode="External"/><Relationship Id="rId45" Type="http://schemas.openxmlformats.org/officeDocument/2006/relationships/hyperlink" Target="https://mifosforge.jira.com/wiki/spaces/docs/overview?homepageId=9830825" TargetMode="External"/><Relationship Id="rId5" Type="http://schemas.openxmlformats.org/officeDocument/2006/relationships/webSettings" Target="webSettings.xml"/><Relationship Id="rId15" Type="http://schemas.openxmlformats.org/officeDocument/2006/relationships/hyperlink" Target="https://mifos.org/directory/" TargetMode="External"/><Relationship Id="rId23" Type="http://schemas.openxmlformats.org/officeDocument/2006/relationships/hyperlink" Target="https://www.openhub.net/p/community-app/estimated_cost" TargetMode="External"/><Relationship Id="rId28" Type="http://schemas.openxmlformats.org/officeDocument/2006/relationships/hyperlink" Target="https://mifos.org/take-action/get-mifos/download-mifos-x/" TargetMode="External"/><Relationship Id="rId36" Type="http://schemas.openxmlformats.org/officeDocument/2006/relationships/hyperlink" Target="https://mifos.org/mifos-x/flexible-product-configuration/" TargetMode="External"/><Relationship Id="rId49" Type="http://schemas.openxmlformats.org/officeDocument/2006/relationships/fontTable" Target="fontTable.xml"/><Relationship Id="rId10" Type="http://schemas.openxmlformats.org/officeDocument/2006/relationships/hyperlink" Target="https://demo.fineract.dev/fineract-provider/api-docs/apiLive.htm" TargetMode="External"/><Relationship Id="rId19" Type="http://schemas.openxmlformats.org/officeDocument/2006/relationships/hyperlink" Target="https://github.com/apache/fineract" TargetMode="External"/><Relationship Id="rId31" Type="http://schemas.openxmlformats.org/officeDocument/2006/relationships/hyperlink" Target="https://www.mozilla.org/en-US/MPL/2.0/" TargetMode="External"/><Relationship Id="rId44" Type="http://schemas.openxmlformats.org/officeDocument/2006/relationships/hyperlink" Target="https://openmf.github.io/mobileapps.github.io/" TargetMode="External"/><Relationship Id="rId4" Type="http://schemas.openxmlformats.org/officeDocument/2006/relationships/settings" Target="settings.xml"/><Relationship Id="rId9" Type="http://schemas.openxmlformats.org/officeDocument/2006/relationships/hyperlink" Target="https://github.com/apache/fineract" TargetMode="External"/><Relationship Id="rId14" Type="http://schemas.openxmlformats.org/officeDocument/2006/relationships/hyperlink" Target="https://demo.mifos.io/" TargetMode="External"/><Relationship Id="rId22" Type="http://schemas.openxmlformats.org/officeDocument/2006/relationships/hyperlink" Target="https://www.openhub.net/p/fineract/estimated_cost" TargetMode="External"/><Relationship Id="rId27" Type="http://schemas.openxmlformats.org/officeDocument/2006/relationships/hyperlink" Target="https://mifosforge.jira.com/wiki/spaces/docs/overview?homepageId=9830825" TargetMode="External"/><Relationship Id="rId30" Type="http://schemas.openxmlformats.org/officeDocument/2006/relationships/hyperlink" Target="http://tomcat.apache.org/" TargetMode="External"/><Relationship Id="rId35" Type="http://schemas.openxmlformats.org/officeDocument/2006/relationships/hyperlink" Target="https://mifos.org/mifos-x/flexible-product-configuration/" TargetMode="External"/><Relationship Id="rId43" Type="http://schemas.openxmlformats.org/officeDocument/2006/relationships/hyperlink" Target="https://github.com/openMF/android-client" TargetMode="External"/><Relationship Id="rId48" Type="http://schemas.openxmlformats.org/officeDocument/2006/relationships/hyperlink" Target="https://mifosforge.jira.com/wiki/spaces/docs/pages/98107409/Mifos+X+Database+Backup+and+Restore" TargetMode="External"/><Relationship Id="rId8" Type="http://schemas.openxmlformats.org/officeDocument/2006/relationships/hyperlink" Target="https://www.ap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34199</Words>
  <Characters>19494</Characters>
  <Application>Microsoft Office Word</Application>
  <DocSecurity>0</DocSecurity>
  <Lines>162</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2020-11-02T15:02:00Z</dcterms:created>
  <dcterms:modified xsi:type="dcterms:W3CDTF">2020-11-02T15:02:00Z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